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4AB1F">
      <w:pPr>
        <w:spacing w:line="388" w:lineRule="auto"/>
        <w:rPr>
          <w:rFonts w:hint="eastAsia" w:asciiTheme="majorEastAsia" w:hAnsiTheme="majorEastAsia" w:eastAsiaTheme="majorEastAsia" w:cstheme="majorEastAsia"/>
          <w:sz w:val="21"/>
        </w:rPr>
      </w:pPr>
    </w:p>
    <w:p w14:paraId="7B7DABCE">
      <w:pPr>
        <w:spacing w:before="114" w:line="218" w:lineRule="auto"/>
        <w:ind w:left="3561"/>
        <w:outlineLvl w:val="0"/>
        <w:rPr>
          <w:rFonts w:hint="eastAsia" w:asciiTheme="majorEastAsia" w:hAnsiTheme="majorEastAsia" w:eastAsiaTheme="majorEastAsia" w:cstheme="majorEastAsia"/>
          <w:sz w:val="35"/>
          <w:szCs w:val="35"/>
        </w:rPr>
      </w:pPr>
      <w:r>
        <w:rPr>
          <w:rFonts w:hint="eastAsia" w:asciiTheme="majorEastAsia" w:hAnsiTheme="majorEastAsia" w:eastAsiaTheme="majorEastAsia" w:cstheme="majorEastAsia"/>
        </w:rPr>
        <w:pict>
          <v:shape id="_x0000_s1026" o:spid="_x0000_s1026" o:spt="202" type="#_x0000_t202" style="position:absolute;left:0pt;margin-left:529.05pt;margin-top:141.9pt;height:8.45pt;width:14.2pt;z-index:-251657216;mso-width-relative:page;mso-height-relative:page;" filled="f" stroked="f" coordsize="21600,21600">
            <v:path/>
            <v:fill on="f" focussize="0,0"/>
            <v:stroke on="f"/>
            <v:imagedata o:title=""/>
            <o:lock v:ext="edit" aspectratio="f"/>
            <v:textbox inset="0mm,0mm,0mm,0mm">
              <w:txbxContent>
                <w:p w14:paraId="25A9BE21">
                  <w:pPr>
                    <w:spacing w:before="20" w:line="128" w:lineRule="exact"/>
                    <w:ind w:left="20"/>
                    <w:rPr>
                      <w:rFonts w:ascii="仿宋" w:hAnsi="仿宋" w:eastAsia="仿宋" w:cs="仿宋"/>
                      <w:sz w:val="7"/>
                      <w:szCs w:val="7"/>
                    </w:rPr>
                  </w:pPr>
                  <w:r>
                    <w:rPr>
                      <w:rFonts w:ascii="仿宋" w:hAnsi="仿宋" w:eastAsia="仿宋" w:cs="仿宋"/>
                      <w:spacing w:val="120"/>
                      <w:w w:val="175"/>
                      <w:sz w:val="7"/>
                      <w:szCs w:val="7"/>
                    </w:rPr>
                    <w:t>”</w:t>
                  </w:r>
                </w:p>
              </w:txbxContent>
            </v:textbox>
          </v:shape>
        </w:pict>
      </w:r>
      <w:r>
        <w:rPr>
          <w:rFonts w:hint="eastAsia" w:asciiTheme="majorEastAsia" w:hAnsiTheme="majorEastAsia" w:eastAsiaTheme="majorEastAsia" w:cstheme="majorEastAsia"/>
          <w:b/>
          <w:bCs/>
          <w:spacing w:val="5"/>
          <w:sz w:val="35"/>
          <w:szCs w:val="35"/>
        </w:rPr>
        <w:t>开、评标会现场记录①</w:t>
      </w:r>
    </w:p>
    <w:tbl>
      <w:tblPr>
        <w:tblStyle w:val="18"/>
        <w:tblW w:w="10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13"/>
      </w:tblGrid>
      <w:tr w14:paraId="6F4FE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10713" w:type="dxa"/>
            <w:shd w:val="clear" w:color="auto" w:fill="F1F1F1" w:themeFill="background1" w:themeFillShade="F2"/>
            <w:vAlign w:val="center"/>
          </w:tcPr>
          <w:p w14:paraId="615B464C">
            <w:pPr>
              <w:bidi w:val="0"/>
              <w:jc w:val="both"/>
              <w:rPr>
                <w:rFonts w:hint="eastAsia" w:asciiTheme="majorEastAsia" w:hAnsiTheme="majorEastAsia" w:eastAsiaTheme="majorEastAsia" w:cstheme="majorEastAsia"/>
              </w:rPr>
            </w:pPr>
            <w:r>
              <w:rPr>
                <w:rFonts w:hint="eastAsia" w:asciiTheme="majorEastAsia" w:hAnsiTheme="majorEastAsia" w:eastAsiaTheme="majorEastAsia" w:cstheme="majorEastAsia"/>
                <w:sz w:val="24"/>
                <w:szCs w:val="24"/>
              </w:rPr>
              <w:t>项目名称：</w:t>
            </w:r>
            <w:r>
              <w:rPr>
                <w:rFonts w:hint="eastAsia" w:asciiTheme="majorEastAsia" w:hAnsiTheme="majorEastAsia" w:eastAsiaTheme="majorEastAsia" w:cstheme="majorEastAsia"/>
                <w:sz w:val="24"/>
                <w:szCs w:val="24"/>
                <w:lang w:eastAsia="zh-CN"/>
              </w:rPr>
              <w:t>克拉玛依市克拉玛依区公共交通基础设施提升改造项目（二期）-智慧交通综合提升项目工程总承包(二标段)</w:t>
            </w:r>
          </w:p>
        </w:tc>
      </w:tr>
      <w:tr w14:paraId="191BA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0713" w:type="dxa"/>
            <w:shd w:val="clear" w:color="auto" w:fill="F1F1F1" w:themeFill="background1" w:themeFillShade="F2"/>
            <w:vAlign w:val="top"/>
          </w:tcPr>
          <w:p w14:paraId="0582BA0A">
            <w:pPr>
              <w:bidi w:val="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开标时间：2026年9月7日</w:t>
            </w:r>
          </w:p>
        </w:tc>
      </w:tr>
      <w:tr w14:paraId="2E50F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10713" w:type="dxa"/>
            <w:shd w:val="clear" w:color="auto" w:fill="F1F1F1" w:themeFill="background1" w:themeFillShade="F2"/>
            <w:vAlign w:val="top"/>
          </w:tcPr>
          <w:p w14:paraId="7A093BF4">
            <w:pPr>
              <w:bidi w:val="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地点：克拉玛依市政务服务和公共资源交易中心（克拉玛依市胜利路33号市政府行政2号楼一楼东侧）</w:t>
            </w:r>
          </w:p>
        </w:tc>
      </w:tr>
      <w:tr w14:paraId="341F6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0713" w:type="dxa"/>
            <w:shd w:val="clear" w:color="auto" w:fill="F1F1F1" w:themeFill="background1" w:themeFillShade="F2"/>
            <w:vAlign w:val="top"/>
          </w:tcPr>
          <w:p w14:paraId="2320DDFC">
            <w:pPr>
              <w:bidi w:val="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会议内容：</w:t>
            </w:r>
          </w:p>
        </w:tc>
      </w:tr>
      <w:tr w14:paraId="717A1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7" w:hRule="atLeast"/>
        </w:trPr>
        <w:tc>
          <w:tcPr>
            <w:tcW w:w="10713" w:type="dxa"/>
            <w:vAlign w:val="top"/>
          </w:tcPr>
          <w:p w14:paraId="73FFC3C0">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rPr>
              <w:t>签</w:t>
            </w:r>
            <w:r>
              <w:rPr>
                <w:rFonts w:hint="eastAsia" w:asciiTheme="majorEastAsia" w:hAnsiTheme="majorEastAsia" w:eastAsiaTheme="majorEastAsia" w:cstheme="majorEastAsia"/>
                <w:b/>
                <w:bCs/>
                <w:sz w:val="24"/>
                <w:szCs w:val="24"/>
                <w:highlight w:val="none"/>
              </w:rPr>
              <w:t>到（</w:t>
            </w:r>
            <w:r>
              <w:rPr>
                <w:rFonts w:hint="eastAsia" w:asciiTheme="majorEastAsia" w:hAnsiTheme="majorEastAsia" w:eastAsiaTheme="majorEastAsia" w:cstheme="majorEastAsia"/>
                <w:b/>
                <w:bCs/>
                <w:sz w:val="24"/>
                <w:szCs w:val="24"/>
                <w:highlight w:val="none"/>
                <w:lang w:val="en-US" w:eastAsia="zh-CN"/>
              </w:rPr>
              <w:t>10</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b/>
                <w:bCs/>
                <w:sz w:val="24"/>
                <w:szCs w:val="24"/>
                <w:highlight w:val="none"/>
                <w:lang w:val="en-US" w:eastAsia="zh-CN"/>
              </w:rPr>
              <w:t>00</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b/>
                <w:bCs/>
                <w:sz w:val="24"/>
                <w:szCs w:val="24"/>
                <w:highlight w:val="none"/>
                <w:lang w:val="en-US" w:eastAsia="zh-CN"/>
              </w:rPr>
              <w:t>10</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b/>
                <w:bCs/>
                <w:sz w:val="24"/>
                <w:szCs w:val="24"/>
                <w:highlight w:val="none"/>
                <w:lang w:val="en-US" w:eastAsia="zh-CN"/>
              </w:rPr>
              <w:t>30</w:t>
            </w:r>
            <w:r>
              <w:rPr>
                <w:rFonts w:hint="eastAsia" w:asciiTheme="majorEastAsia" w:hAnsiTheme="majorEastAsia" w:eastAsiaTheme="majorEastAsia" w:cstheme="majorEastAsia"/>
                <w:b/>
                <w:bCs/>
                <w:sz w:val="24"/>
                <w:szCs w:val="24"/>
                <w:highlight w:val="none"/>
              </w:rPr>
              <w:t>）</w:t>
            </w:r>
          </w:p>
          <w:p w14:paraId="77E13F69">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highlight w:val="none"/>
                <w:lang w:val="en-US" w:eastAsia="zh-CN"/>
              </w:rPr>
              <w:t>克拉玛依市</w:t>
            </w:r>
            <w:r>
              <w:rPr>
                <w:rFonts w:hint="eastAsia" w:asciiTheme="majorEastAsia" w:hAnsiTheme="majorEastAsia" w:eastAsiaTheme="majorEastAsia" w:cstheme="majorEastAsia"/>
                <w:sz w:val="24"/>
                <w:szCs w:val="24"/>
                <w:highlight w:val="none"/>
              </w:rPr>
              <w:t>建设工程交易中心开标室，</w:t>
            </w:r>
            <w:r>
              <w:rPr>
                <w:rFonts w:hint="eastAsia" w:asciiTheme="majorEastAsia" w:hAnsiTheme="majorEastAsia" w:eastAsiaTheme="majorEastAsia" w:cstheme="majorEastAsia"/>
                <w:sz w:val="24"/>
                <w:szCs w:val="24"/>
                <w:highlight w:val="none"/>
                <w:lang w:eastAsia="zh-CN"/>
              </w:rPr>
              <w:t>本项目</w:t>
            </w:r>
            <w:r>
              <w:rPr>
                <w:rFonts w:hint="eastAsia" w:asciiTheme="majorEastAsia" w:hAnsiTheme="majorEastAsia" w:eastAsiaTheme="majorEastAsia" w:cstheme="majorEastAsia"/>
                <w:sz w:val="24"/>
                <w:szCs w:val="24"/>
                <w:highlight w:val="none"/>
              </w:rPr>
              <w:t>共有</w:t>
            </w:r>
            <w:r>
              <w:rPr>
                <w:rFonts w:hint="eastAsia" w:asciiTheme="majorEastAsia" w:hAnsiTheme="majorEastAsia" w:eastAsiaTheme="majorEastAsia" w:cstheme="majorEastAsia"/>
                <w:sz w:val="24"/>
                <w:szCs w:val="24"/>
                <w:highlight w:val="none"/>
                <w:lang w:val="en-US" w:eastAsia="zh-CN"/>
              </w:rPr>
              <w:t>27</w:t>
            </w:r>
            <w:r>
              <w:rPr>
                <w:rFonts w:hint="eastAsia" w:asciiTheme="majorEastAsia" w:hAnsiTheme="majorEastAsia" w:eastAsiaTheme="majorEastAsia" w:cstheme="majorEastAsia"/>
                <w:sz w:val="24"/>
                <w:szCs w:val="24"/>
                <w:highlight w:val="none"/>
                <w:lang w:eastAsia="zh-CN"/>
              </w:rPr>
              <w:t>家</w:t>
            </w:r>
            <w:r>
              <w:rPr>
                <w:rFonts w:hint="eastAsia" w:asciiTheme="majorEastAsia" w:hAnsiTheme="majorEastAsia" w:eastAsiaTheme="majorEastAsia" w:cstheme="majorEastAsia"/>
                <w:sz w:val="24"/>
                <w:szCs w:val="24"/>
                <w:highlight w:val="none"/>
              </w:rPr>
              <w:t>投标单位</w:t>
            </w:r>
            <w:r>
              <w:rPr>
                <w:rFonts w:hint="eastAsia" w:asciiTheme="majorEastAsia" w:hAnsiTheme="majorEastAsia" w:eastAsiaTheme="majorEastAsia" w:cstheme="majorEastAsia"/>
                <w:sz w:val="24"/>
                <w:szCs w:val="24"/>
                <w:highlight w:val="none"/>
                <w:lang w:eastAsia="zh-CN"/>
              </w:rPr>
              <w:t>获取</w:t>
            </w:r>
            <w:r>
              <w:rPr>
                <w:rFonts w:hint="eastAsia" w:asciiTheme="majorEastAsia" w:hAnsiTheme="majorEastAsia" w:eastAsiaTheme="majorEastAsia" w:cstheme="majorEastAsia"/>
                <w:sz w:val="24"/>
                <w:szCs w:val="24"/>
                <w:highlight w:val="none"/>
              </w:rPr>
              <w:t>招标文件</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在投标截止</w:t>
            </w:r>
            <w:r>
              <w:rPr>
                <w:rFonts w:hint="eastAsia" w:asciiTheme="majorEastAsia" w:hAnsiTheme="majorEastAsia" w:eastAsiaTheme="majorEastAsia" w:cstheme="majorEastAsia"/>
                <w:sz w:val="24"/>
                <w:szCs w:val="24"/>
                <w:highlight w:val="none"/>
                <w:lang w:eastAsia="zh-CN"/>
              </w:rPr>
              <w:t>时间</w:t>
            </w:r>
            <w:r>
              <w:rPr>
                <w:rFonts w:hint="eastAsia" w:asciiTheme="majorEastAsia" w:hAnsiTheme="majorEastAsia" w:eastAsiaTheme="majorEastAsia" w:cstheme="majorEastAsia"/>
                <w:sz w:val="24"/>
                <w:szCs w:val="24"/>
                <w:highlight w:val="none"/>
              </w:rPr>
              <w:t>前辽宁交投信科技术股份有限公司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北京北大千方科技有限公司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重庆德生鼎盛实业发展有限公司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北京益泰牡丹电子工程有限责任公司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中铁一局集团电务工程有限公司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和光海天信息技术股份有限公司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北明软件有限公司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中国交通信息科技集团有限公司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江西方兴科技股份有限公司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北京云星宇交通科技股份有限公司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浙江省公众信息产业有限公司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山西省邮电建设工程有限公司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中邮建技术有限公司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rPr>
              <w:t>中移系统集成有限公司</w:t>
            </w:r>
            <w:r>
              <w:rPr>
                <w:rFonts w:hint="eastAsia" w:asciiTheme="majorEastAsia" w:hAnsiTheme="majorEastAsia" w:eastAsiaTheme="majorEastAsia" w:cstheme="majorEastAsia"/>
                <w:sz w:val="24"/>
                <w:szCs w:val="24"/>
                <w:highlight w:val="none"/>
                <w:lang w:val="en-US" w:eastAsia="zh-CN"/>
              </w:rPr>
              <w:t>共14</w:t>
            </w:r>
            <w:r>
              <w:rPr>
                <w:rFonts w:hint="eastAsia" w:asciiTheme="majorEastAsia" w:hAnsiTheme="majorEastAsia" w:eastAsiaTheme="majorEastAsia" w:cstheme="majorEastAsia"/>
                <w:sz w:val="24"/>
                <w:szCs w:val="24"/>
                <w:highlight w:val="none"/>
              </w:rPr>
              <w:t>家投标单</w:t>
            </w:r>
            <w:r>
              <w:rPr>
                <w:rFonts w:hint="eastAsia" w:asciiTheme="majorEastAsia" w:hAnsiTheme="majorEastAsia" w:eastAsiaTheme="majorEastAsia" w:cstheme="majorEastAsia"/>
                <w:sz w:val="24"/>
                <w:szCs w:val="24"/>
              </w:rPr>
              <w:t>位</w:t>
            </w:r>
            <w:r>
              <w:rPr>
                <w:rFonts w:hint="eastAsia" w:asciiTheme="majorEastAsia" w:hAnsiTheme="majorEastAsia" w:eastAsiaTheme="majorEastAsia" w:cstheme="majorEastAsia"/>
                <w:sz w:val="24"/>
                <w:szCs w:val="24"/>
                <w:lang w:val="en-US" w:eastAsia="zh-CN"/>
              </w:rPr>
              <w:t>线上递交投标文件，均对投标文件进行解密。</w:t>
            </w:r>
          </w:p>
          <w:p w14:paraId="1218358B">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标前会</w:t>
            </w:r>
          </w:p>
          <w:p w14:paraId="55EF68C4">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招标代理工作人员签到；</w:t>
            </w:r>
          </w:p>
          <w:p w14:paraId="03B22705">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各位评委</w:t>
            </w:r>
            <w:r>
              <w:rPr>
                <w:rFonts w:hint="eastAsia" w:asciiTheme="majorEastAsia" w:hAnsiTheme="majorEastAsia" w:eastAsiaTheme="majorEastAsia" w:cstheme="majorEastAsia"/>
                <w:sz w:val="24"/>
                <w:szCs w:val="24"/>
                <w:lang w:val="en-US" w:eastAsia="zh-CN"/>
              </w:rPr>
              <w:t>进行</w:t>
            </w:r>
            <w:r>
              <w:rPr>
                <w:rFonts w:hint="eastAsia" w:asciiTheme="majorEastAsia" w:hAnsiTheme="majorEastAsia" w:eastAsiaTheme="majorEastAsia" w:cstheme="majorEastAsia"/>
                <w:sz w:val="24"/>
                <w:szCs w:val="24"/>
              </w:rPr>
              <w:t>签到；</w:t>
            </w:r>
          </w:p>
          <w:p w14:paraId="198DC543">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招标代理机构工作人员向各位评委介绍本</w:t>
            </w:r>
            <w:r>
              <w:rPr>
                <w:rFonts w:hint="eastAsia" w:asciiTheme="majorEastAsia" w:hAnsiTheme="majorEastAsia" w:eastAsiaTheme="majorEastAsia" w:cstheme="majorEastAsia"/>
                <w:sz w:val="24"/>
                <w:szCs w:val="24"/>
                <w:lang w:eastAsia="zh-CN"/>
              </w:rPr>
              <w:t>项目</w:t>
            </w:r>
            <w:r>
              <w:rPr>
                <w:rFonts w:hint="eastAsia" w:asciiTheme="majorEastAsia" w:hAnsiTheme="majorEastAsia" w:eastAsiaTheme="majorEastAsia" w:cstheme="majorEastAsia"/>
                <w:sz w:val="24"/>
                <w:szCs w:val="24"/>
              </w:rPr>
              <w:t>的工程概况，基本技术要求，评分办法等，并询问评委有无不清楚的地方，均表示无疑问。</w:t>
            </w:r>
          </w:p>
          <w:p w14:paraId="54181309">
            <w:pPr>
              <w:numPr>
                <w:ilvl w:val="0"/>
                <w:numId w:val="2"/>
              </w:numPr>
              <w:bidi w:val="0"/>
              <w:spacing w:line="360" w:lineRule="auto"/>
              <w:ind w:left="0" w:leftChars="0" w:firstLine="40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招标代理机构工作人员介绍本次</w:t>
            </w:r>
            <w:r>
              <w:rPr>
                <w:rFonts w:hint="eastAsia" w:asciiTheme="majorEastAsia" w:hAnsiTheme="majorEastAsia" w:eastAsiaTheme="majorEastAsia" w:cstheme="majorEastAsia"/>
                <w:sz w:val="24"/>
                <w:szCs w:val="24"/>
                <w:lang w:eastAsia="zh-CN"/>
              </w:rPr>
              <w:t>评标委员会的组成，本次评标委员会共由7人组成，招标人代表2人，其余经济技术类专家评委5人，专家评委由</w:t>
            </w:r>
            <w:r>
              <w:rPr>
                <w:rFonts w:hint="eastAsia" w:asciiTheme="majorEastAsia" w:hAnsiTheme="majorEastAsia" w:eastAsiaTheme="majorEastAsia" w:cstheme="majorEastAsia"/>
                <w:sz w:val="24"/>
                <w:szCs w:val="24"/>
                <w:highlight w:val="none"/>
                <w:lang w:eastAsia="zh-CN"/>
              </w:rPr>
              <w:t>新疆生产建设兵团公共资源交易中心第五分中心</w:t>
            </w:r>
            <w:r>
              <w:rPr>
                <w:rFonts w:hint="eastAsia" w:asciiTheme="majorEastAsia" w:hAnsiTheme="majorEastAsia" w:eastAsiaTheme="majorEastAsia" w:cstheme="majorEastAsia"/>
                <w:sz w:val="24"/>
                <w:szCs w:val="24"/>
                <w:lang w:eastAsia="zh-CN"/>
              </w:rPr>
              <w:t>中随机抽取。</w:t>
            </w:r>
            <w:r>
              <w:rPr>
                <w:rFonts w:hint="eastAsia" w:asciiTheme="majorEastAsia" w:hAnsiTheme="majorEastAsia" w:eastAsiaTheme="majorEastAsia" w:cstheme="majorEastAsia"/>
                <w:sz w:val="24"/>
                <w:szCs w:val="24"/>
                <w:u w:val="single"/>
                <w:lang w:eastAsia="zh-CN"/>
              </w:rPr>
              <w:t>全体评标委员会成员一致推选了组长，</w:t>
            </w:r>
            <w:r>
              <w:rPr>
                <w:rFonts w:hint="eastAsia" w:asciiTheme="majorEastAsia" w:hAnsiTheme="majorEastAsia" w:eastAsiaTheme="majorEastAsia" w:cstheme="majorEastAsia"/>
                <w:sz w:val="24"/>
                <w:szCs w:val="24"/>
                <w:lang w:eastAsia="zh-CN"/>
              </w:rPr>
              <w:t>担任本次现场监督的是克拉玛依市克拉玛依区住房和城乡建设局建筑市场监督管理办公室的孙新蕾</w:t>
            </w:r>
            <w:r>
              <w:rPr>
                <w:rFonts w:hint="eastAsia" w:asciiTheme="majorEastAsia" w:hAnsiTheme="majorEastAsia" w:eastAsiaTheme="majorEastAsia" w:cstheme="majorEastAsia"/>
                <w:sz w:val="24"/>
                <w:szCs w:val="24"/>
                <w:lang w:val="en-US" w:eastAsia="zh-CN"/>
              </w:rPr>
              <w:t>。</w:t>
            </w:r>
          </w:p>
          <w:p w14:paraId="440E27C3">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开标</w:t>
            </w:r>
          </w:p>
          <w:p w14:paraId="7462D497">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招标代理机构工作人员介绍本次开标共分为</w:t>
            </w:r>
            <w:r>
              <w:rPr>
                <w:rFonts w:hint="eastAsia" w:asciiTheme="majorEastAsia" w:hAnsiTheme="majorEastAsia" w:eastAsiaTheme="majorEastAsia" w:cstheme="majorEastAsia"/>
                <w:sz w:val="24"/>
                <w:szCs w:val="24"/>
                <w:lang w:val="en-US" w:eastAsia="zh-CN"/>
              </w:rPr>
              <w:t>两</w:t>
            </w:r>
            <w:r>
              <w:rPr>
                <w:rFonts w:hint="eastAsia" w:asciiTheme="majorEastAsia" w:hAnsiTheme="majorEastAsia" w:eastAsiaTheme="majorEastAsia" w:cstheme="majorEastAsia"/>
                <w:sz w:val="24"/>
                <w:szCs w:val="24"/>
              </w:rPr>
              <w:t>个阶段，（1）初步评审，（2）详细评审。</w:t>
            </w:r>
          </w:p>
          <w:p w14:paraId="2DDC5E83">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highlight w:val="none"/>
                <w:lang w:eastAsia="zh-CN"/>
              </w:rPr>
              <w:t>首先</w:t>
            </w:r>
            <w:r>
              <w:rPr>
                <w:rFonts w:hint="eastAsia" w:asciiTheme="majorEastAsia" w:hAnsiTheme="majorEastAsia" w:eastAsiaTheme="majorEastAsia" w:cstheme="majorEastAsia"/>
                <w:sz w:val="24"/>
                <w:szCs w:val="24"/>
                <w:highlight w:val="none"/>
              </w:rPr>
              <w:t>进行初步评审，</w:t>
            </w:r>
            <w:r>
              <w:rPr>
                <w:rFonts w:hint="eastAsia" w:asciiTheme="majorEastAsia" w:hAnsiTheme="majorEastAsia" w:eastAsiaTheme="majorEastAsia" w:cstheme="majorEastAsia"/>
                <w:sz w:val="24"/>
                <w:szCs w:val="24"/>
                <w:highlight w:val="none"/>
                <w:lang w:eastAsia="zh-CN"/>
              </w:rPr>
              <w:t>经审查，所有</w:t>
            </w:r>
            <w:r>
              <w:rPr>
                <w:rFonts w:hint="eastAsia" w:asciiTheme="majorEastAsia" w:hAnsiTheme="majorEastAsia" w:eastAsiaTheme="majorEastAsia" w:cstheme="majorEastAsia"/>
                <w:sz w:val="24"/>
                <w:szCs w:val="24"/>
                <w:highlight w:val="none"/>
                <w:lang w:val="en-US" w:eastAsia="zh-CN"/>
              </w:rPr>
              <w:t>14家投标人均通过</w:t>
            </w:r>
            <w:r>
              <w:rPr>
                <w:rFonts w:hint="eastAsia" w:asciiTheme="majorEastAsia" w:hAnsiTheme="majorEastAsia" w:eastAsiaTheme="majorEastAsia" w:cstheme="majorEastAsia"/>
                <w:sz w:val="24"/>
                <w:szCs w:val="24"/>
                <w:highlight w:val="none"/>
                <w:lang w:eastAsia="zh-CN"/>
              </w:rPr>
              <w:t>初步评审</w:t>
            </w:r>
            <w:r>
              <w:rPr>
                <w:rFonts w:hint="eastAsia" w:asciiTheme="majorEastAsia" w:hAnsiTheme="majorEastAsia" w:eastAsiaTheme="majorEastAsia" w:cstheme="majorEastAsia"/>
                <w:sz w:val="24"/>
                <w:szCs w:val="24"/>
                <w:highlight w:val="none"/>
                <w:lang w:val="en-US" w:eastAsia="zh-CN"/>
              </w:rPr>
              <w:t>，进入下一阶段详细评审。</w:t>
            </w:r>
          </w:p>
        </w:tc>
      </w:tr>
      <w:tr w14:paraId="3087F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6" w:hRule="atLeast"/>
        </w:trPr>
        <w:tc>
          <w:tcPr>
            <w:tcW w:w="10713" w:type="dxa"/>
            <w:vAlign w:val="top"/>
          </w:tcPr>
          <w:p w14:paraId="0A9856BC">
            <w:pPr>
              <w:pStyle w:val="19"/>
              <w:spacing w:before="86" w:line="222" w:lineRule="auto"/>
              <w:ind w:left="21"/>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4"/>
              </w:rPr>
              <w:t>评委签字：</w:t>
            </w:r>
          </w:p>
        </w:tc>
      </w:tr>
      <w:tr w14:paraId="2786A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0713" w:type="dxa"/>
            <w:vAlign w:val="top"/>
          </w:tcPr>
          <w:p w14:paraId="0C16F845">
            <w:pPr>
              <w:pStyle w:val="19"/>
              <w:spacing w:before="206" w:line="223" w:lineRule="auto"/>
              <w:ind w:left="19"/>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4"/>
                <w:lang w:val="en-US" w:eastAsia="zh-CN"/>
              </w:rPr>
              <w:t>记录</w:t>
            </w:r>
            <w:r>
              <w:rPr>
                <w:rFonts w:hint="eastAsia" w:asciiTheme="majorEastAsia" w:hAnsiTheme="majorEastAsia" w:eastAsiaTheme="majorEastAsia" w:cstheme="majorEastAsia"/>
                <w:spacing w:val="-4"/>
              </w:rPr>
              <w:t>人：</w:t>
            </w:r>
          </w:p>
        </w:tc>
      </w:tr>
    </w:tbl>
    <w:p w14:paraId="342CDFA2">
      <w:pPr>
        <w:rPr>
          <w:rFonts w:hint="eastAsia" w:asciiTheme="majorEastAsia" w:hAnsiTheme="majorEastAsia" w:eastAsiaTheme="majorEastAsia" w:cstheme="majorEastAsia"/>
          <w:sz w:val="21"/>
        </w:rPr>
      </w:pPr>
    </w:p>
    <w:p w14:paraId="18138193">
      <w:pPr>
        <w:rPr>
          <w:rFonts w:hint="eastAsia" w:asciiTheme="majorEastAsia" w:hAnsiTheme="majorEastAsia" w:eastAsiaTheme="majorEastAsia" w:cstheme="majorEastAsia"/>
          <w:sz w:val="21"/>
          <w:szCs w:val="21"/>
        </w:rPr>
        <w:sectPr>
          <w:headerReference r:id="rId5" w:type="default"/>
          <w:pgSz w:w="11905" w:h="16837"/>
          <w:pgMar w:top="400" w:right="453" w:bottom="0" w:left="607" w:header="0" w:footer="0" w:gutter="0"/>
          <w:cols w:space="720" w:num="1"/>
        </w:sectPr>
      </w:pPr>
    </w:p>
    <w:p w14:paraId="70B0639F">
      <w:pPr>
        <w:spacing w:line="388" w:lineRule="auto"/>
        <w:rPr>
          <w:rFonts w:hint="eastAsia" w:asciiTheme="majorEastAsia" w:hAnsiTheme="majorEastAsia" w:eastAsiaTheme="majorEastAsia" w:cstheme="majorEastAsia"/>
          <w:sz w:val="21"/>
        </w:rPr>
      </w:pPr>
    </w:p>
    <w:p w14:paraId="358DDBB9">
      <w:pPr>
        <w:spacing w:before="114" w:line="218" w:lineRule="auto"/>
        <w:ind w:left="3561"/>
        <w:outlineLvl w:val="0"/>
        <w:rPr>
          <w:rFonts w:hint="eastAsia" w:asciiTheme="majorEastAsia" w:hAnsiTheme="majorEastAsia" w:eastAsiaTheme="majorEastAsia" w:cstheme="majorEastAsia"/>
          <w:sz w:val="35"/>
          <w:szCs w:val="35"/>
        </w:rPr>
      </w:pPr>
      <w:r>
        <w:rPr>
          <w:rFonts w:hint="eastAsia" w:asciiTheme="majorEastAsia" w:hAnsiTheme="majorEastAsia" w:eastAsiaTheme="majorEastAsia" w:cstheme="majorEastAsia"/>
        </w:rPr>
        <mc:AlternateContent>
          <mc:Choice Requires="wps">
            <w:drawing>
              <wp:anchor distT="0" distB="0" distL="114300" distR="114300" simplePos="0" relativeHeight="251660288" behindDoc="1" locked="0" layoutInCell="1" allowOverlap="1">
                <wp:simplePos x="0" y="0"/>
                <wp:positionH relativeFrom="column">
                  <wp:posOffset>6718935</wp:posOffset>
                </wp:positionH>
                <wp:positionV relativeFrom="paragraph">
                  <wp:posOffset>1802130</wp:posOffset>
                </wp:positionV>
                <wp:extent cx="180340" cy="10731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0340" cy="107315"/>
                        </a:xfrm>
                        <a:prstGeom prst="rect">
                          <a:avLst/>
                        </a:prstGeom>
                        <a:noFill/>
                        <a:ln>
                          <a:noFill/>
                        </a:ln>
                      </wps:spPr>
                      <wps:txbx>
                        <w:txbxContent>
                          <w:p w14:paraId="5C96FA12">
                            <w:pPr>
                              <w:spacing w:before="20" w:line="128" w:lineRule="exact"/>
                              <w:ind w:left="20"/>
                              <w:rPr>
                                <w:rFonts w:ascii="仿宋" w:hAnsi="仿宋" w:eastAsia="仿宋" w:cs="仿宋"/>
                                <w:sz w:val="7"/>
                                <w:szCs w:val="7"/>
                              </w:rPr>
                            </w:pPr>
                            <w:r>
                              <w:rPr>
                                <w:rFonts w:ascii="仿宋" w:hAnsi="仿宋" w:eastAsia="仿宋" w:cs="仿宋"/>
                                <w:spacing w:val="120"/>
                                <w:w w:val="175"/>
                                <w:sz w:val="7"/>
                                <w:szCs w:val="7"/>
                              </w:rPr>
                              <w:t>”</w:t>
                            </w:r>
                          </w:p>
                        </w:txbxContent>
                      </wps:txbx>
                      <wps:bodyPr lIns="0" tIns="0" rIns="0" bIns="0" upright="1"/>
                    </wps:wsp>
                  </a:graphicData>
                </a:graphic>
              </wp:anchor>
            </w:drawing>
          </mc:Choice>
          <mc:Fallback>
            <w:pict>
              <v:shape id="_x0000_s1026" o:spid="_x0000_s1026" o:spt="202" type="#_x0000_t202" style="position:absolute;left:0pt;margin-left:529.05pt;margin-top:141.9pt;height:8.45pt;width:14.2pt;z-index:-251656192;mso-width-relative:page;mso-height-relative:page;" filled="f" stroked="f" coordsize="21600,21600" o:gfxdata="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vXTZT2gAAAA0BAAAPAAAAAAAAAAEAIAAAACIAAABkcnMvZG93bnJldi54bWxQSwEC&#10;FAAUAAAACACHTuJAqNnCNrkBAABxAwAADgAAAAAAAAABACAAAAApAQAAZHJzL2Uyb0RvYy54bWxQ&#10;SwUGAAAAAAYABgBZAQAAVAUAAAAA&#10;">
                <v:fill on="f" focussize="0,0"/>
                <v:stroke on="f"/>
                <v:imagedata o:title=""/>
                <o:lock v:ext="edit" aspectratio="f"/>
                <v:textbox inset="0mm,0mm,0mm,0mm">
                  <w:txbxContent>
                    <w:p w14:paraId="5C96FA12">
                      <w:pPr>
                        <w:spacing w:before="20" w:line="128" w:lineRule="exact"/>
                        <w:ind w:left="20"/>
                        <w:rPr>
                          <w:rFonts w:ascii="仿宋" w:hAnsi="仿宋" w:eastAsia="仿宋" w:cs="仿宋"/>
                          <w:sz w:val="7"/>
                          <w:szCs w:val="7"/>
                        </w:rPr>
                      </w:pPr>
                      <w:r>
                        <w:rPr>
                          <w:rFonts w:ascii="仿宋" w:hAnsi="仿宋" w:eastAsia="仿宋" w:cs="仿宋"/>
                          <w:spacing w:val="120"/>
                          <w:w w:val="175"/>
                          <w:sz w:val="7"/>
                          <w:szCs w:val="7"/>
                        </w:rPr>
                        <w:t>”</w:t>
                      </w:r>
                    </w:p>
                  </w:txbxContent>
                </v:textbox>
              </v:shape>
            </w:pict>
          </mc:Fallback>
        </mc:AlternateContent>
      </w:r>
      <w:r>
        <w:rPr>
          <w:rFonts w:hint="eastAsia" w:asciiTheme="majorEastAsia" w:hAnsiTheme="majorEastAsia" w:eastAsiaTheme="majorEastAsia" w:cstheme="majorEastAsia"/>
          <w:b/>
          <w:bCs/>
          <w:spacing w:val="5"/>
          <w:sz w:val="35"/>
          <w:szCs w:val="35"/>
        </w:rPr>
        <w:t>开、评标会现场记录②</w:t>
      </w:r>
    </w:p>
    <w:tbl>
      <w:tblPr>
        <w:tblStyle w:val="18"/>
        <w:tblW w:w="10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13"/>
      </w:tblGrid>
      <w:tr w14:paraId="453F0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713" w:type="dxa"/>
            <w:shd w:val="clear" w:color="auto" w:fill="F1F1F1" w:themeFill="background1" w:themeFillShade="F2"/>
            <w:vAlign w:val="center"/>
          </w:tcPr>
          <w:p w14:paraId="7D3E2BD3">
            <w:pPr>
              <w:bidi w:val="0"/>
              <w:jc w:val="both"/>
              <w:rPr>
                <w:rFonts w:hint="eastAsia" w:asciiTheme="majorEastAsia" w:hAnsiTheme="majorEastAsia" w:eastAsiaTheme="majorEastAsia" w:cstheme="majorEastAsia"/>
              </w:rPr>
            </w:pPr>
            <w:r>
              <w:rPr>
                <w:rFonts w:hint="eastAsia" w:asciiTheme="majorEastAsia" w:hAnsiTheme="majorEastAsia" w:eastAsiaTheme="majorEastAsia" w:cstheme="majorEastAsia"/>
                <w:sz w:val="24"/>
                <w:szCs w:val="24"/>
              </w:rPr>
              <w:t>项目名称：</w:t>
            </w:r>
            <w:r>
              <w:rPr>
                <w:rFonts w:hint="eastAsia" w:asciiTheme="majorEastAsia" w:hAnsiTheme="majorEastAsia" w:eastAsiaTheme="majorEastAsia" w:cstheme="majorEastAsia"/>
                <w:sz w:val="24"/>
                <w:szCs w:val="24"/>
                <w:lang w:eastAsia="zh-CN"/>
              </w:rPr>
              <w:t>克拉玛依市克拉玛依区公共交通基础设施提升改造项目（二期）-智慧交通综合提升项目工程总承包(二标段)</w:t>
            </w:r>
          </w:p>
        </w:tc>
      </w:tr>
      <w:tr w14:paraId="5D10F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0713" w:type="dxa"/>
            <w:shd w:val="clear" w:color="auto" w:fill="F1F1F1" w:themeFill="background1" w:themeFillShade="F2"/>
            <w:vAlign w:val="top"/>
          </w:tcPr>
          <w:p w14:paraId="42335FFA">
            <w:pPr>
              <w:bidi w:val="0"/>
              <w:rPr>
                <w:rFonts w:hint="eastAsia" w:asciiTheme="majorEastAsia" w:hAnsiTheme="majorEastAsia" w:eastAsiaTheme="majorEastAsia" w:cstheme="majorEastAsia"/>
              </w:rPr>
            </w:pPr>
            <w:r>
              <w:rPr>
                <w:rFonts w:hint="eastAsia" w:asciiTheme="majorEastAsia" w:hAnsiTheme="majorEastAsia" w:eastAsiaTheme="majorEastAsia" w:cstheme="majorEastAsia"/>
                <w:sz w:val="24"/>
                <w:szCs w:val="24"/>
                <w:lang w:val="en-US" w:eastAsia="zh-CN"/>
              </w:rPr>
              <w:t>开标时间：2026年9月7日</w:t>
            </w:r>
          </w:p>
        </w:tc>
      </w:tr>
      <w:tr w14:paraId="4D1B6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10713" w:type="dxa"/>
            <w:shd w:val="clear" w:color="auto" w:fill="F1F1F1" w:themeFill="background1" w:themeFillShade="F2"/>
            <w:vAlign w:val="top"/>
          </w:tcPr>
          <w:p w14:paraId="04DCAF1E">
            <w:pPr>
              <w:bidi w:val="0"/>
              <w:rPr>
                <w:rFonts w:hint="eastAsia" w:asciiTheme="majorEastAsia" w:hAnsiTheme="majorEastAsia" w:eastAsiaTheme="majorEastAsia" w:cstheme="majorEastAsia"/>
              </w:rPr>
            </w:pPr>
            <w:r>
              <w:rPr>
                <w:rFonts w:hint="eastAsia" w:asciiTheme="majorEastAsia" w:hAnsiTheme="majorEastAsia" w:eastAsiaTheme="majorEastAsia" w:cstheme="majorEastAsia"/>
                <w:sz w:val="24"/>
                <w:szCs w:val="24"/>
              </w:rPr>
              <w:t>地点：克拉玛依市政务服务和公共资源交易中心（克拉玛依市胜利路33号市政府行政2号楼一楼东侧）</w:t>
            </w:r>
          </w:p>
        </w:tc>
      </w:tr>
      <w:tr w14:paraId="28D91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713" w:type="dxa"/>
            <w:shd w:val="clear" w:color="auto" w:fill="F1F1F1" w:themeFill="background1" w:themeFillShade="F2"/>
            <w:vAlign w:val="top"/>
          </w:tcPr>
          <w:p w14:paraId="495A1E22">
            <w:pPr>
              <w:bidi w:val="0"/>
              <w:rPr>
                <w:rFonts w:hint="eastAsia" w:asciiTheme="majorEastAsia" w:hAnsiTheme="majorEastAsia" w:eastAsiaTheme="majorEastAsia" w:cstheme="majorEastAsia"/>
              </w:rPr>
            </w:pPr>
            <w:r>
              <w:rPr>
                <w:rFonts w:hint="eastAsia" w:asciiTheme="majorEastAsia" w:hAnsiTheme="majorEastAsia" w:eastAsiaTheme="majorEastAsia" w:cstheme="majorEastAsia"/>
                <w:sz w:val="24"/>
                <w:szCs w:val="24"/>
              </w:rPr>
              <w:t>会议内容：</w:t>
            </w:r>
          </w:p>
        </w:tc>
      </w:tr>
      <w:tr w14:paraId="364DB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2" w:hRule="atLeast"/>
        </w:trPr>
        <w:tc>
          <w:tcPr>
            <w:tcW w:w="10713" w:type="dxa"/>
            <w:vAlign w:val="top"/>
          </w:tcPr>
          <w:p w14:paraId="57A3F4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各位评委对投标单位的</w:t>
            </w:r>
            <w:r>
              <w:rPr>
                <w:rFonts w:hint="eastAsia" w:asciiTheme="majorEastAsia" w:hAnsiTheme="majorEastAsia" w:eastAsiaTheme="majorEastAsia" w:cstheme="majorEastAsia"/>
                <w:sz w:val="24"/>
                <w:szCs w:val="24"/>
                <w:highlight w:val="none"/>
                <w:lang w:eastAsia="zh-CN"/>
              </w:rPr>
              <w:t>类似工程业绩</w:t>
            </w:r>
            <w:r>
              <w:rPr>
                <w:rFonts w:hint="eastAsia" w:asciiTheme="majorEastAsia" w:hAnsiTheme="majorEastAsia" w:eastAsiaTheme="majorEastAsia" w:cstheme="majorEastAsia"/>
                <w:sz w:val="24"/>
                <w:szCs w:val="24"/>
                <w:highlight w:val="none"/>
              </w:rPr>
              <w:t>、</w:t>
            </w:r>
            <w:r>
              <w:rPr>
                <w:rFonts w:hint="eastAsia" w:asciiTheme="majorEastAsia" w:hAnsiTheme="majorEastAsia" w:eastAsiaTheme="majorEastAsia" w:cstheme="majorEastAsia"/>
                <w:sz w:val="24"/>
                <w:szCs w:val="24"/>
                <w:highlight w:val="none"/>
                <w:lang w:eastAsia="zh-CN"/>
              </w:rPr>
              <w:t>项目管理机构、工程总承包项目经理、财务状况、信誉</w:t>
            </w:r>
            <w:r>
              <w:rPr>
                <w:rFonts w:hint="eastAsia" w:asciiTheme="majorEastAsia" w:hAnsiTheme="majorEastAsia" w:eastAsiaTheme="majorEastAsia" w:cstheme="majorEastAsia"/>
                <w:sz w:val="24"/>
                <w:szCs w:val="24"/>
                <w:highlight w:val="none"/>
                <w:lang w:val="en-US" w:eastAsia="zh-CN"/>
              </w:rPr>
              <w:t>和</w:t>
            </w:r>
            <w:r>
              <w:rPr>
                <w:rFonts w:hint="eastAsia" w:asciiTheme="majorEastAsia" w:hAnsiTheme="majorEastAsia" w:eastAsiaTheme="majorEastAsia" w:cstheme="majorEastAsia"/>
                <w:sz w:val="24"/>
                <w:szCs w:val="24"/>
                <w:highlight w:val="none"/>
                <w:lang w:eastAsia="zh-CN"/>
              </w:rPr>
              <w:t>其他等商务标评审项目进行评分</w:t>
            </w:r>
            <w:r>
              <w:rPr>
                <w:rFonts w:hint="eastAsia" w:asciiTheme="majorEastAsia" w:hAnsiTheme="majorEastAsia" w:eastAsiaTheme="majorEastAsia" w:cstheme="majorEastAsia"/>
                <w:sz w:val="24"/>
                <w:szCs w:val="24"/>
                <w:highlight w:val="none"/>
                <w:lang w:val="en-US" w:eastAsia="zh-CN"/>
              </w:rPr>
              <w:t>，</w:t>
            </w:r>
            <w:r>
              <w:rPr>
                <w:rFonts w:hint="eastAsia" w:asciiTheme="majorEastAsia" w:hAnsiTheme="majorEastAsia" w:eastAsiaTheme="majorEastAsia" w:cstheme="majorEastAsia"/>
                <w:sz w:val="24"/>
                <w:szCs w:val="24"/>
                <w:highlight w:val="none"/>
              </w:rPr>
              <w:t>其中①</w:t>
            </w:r>
            <w:r>
              <w:rPr>
                <w:rFonts w:hint="eastAsia" w:asciiTheme="majorEastAsia" w:hAnsiTheme="majorEastAsia" w:eastAsiaTheme="majorEastAsia" w:cstheme="majorEastAsia"/>
                <w:sz w:val="24"/>
                <w:szCs w:val="24"/>
                <w:highlight w:val="none"/>
                <w:lang w:val="en-US" w:eastAsia="zh-CN"/>
              </w:rPr>
              <w:t>北京云星宇交通科技股份有限公司、</w:t>
            </w:r>
            <w:r>
              <w:rPr>
                <w:rFonts w:hint="eastAsia" w:asciiTheme="majorEastAsia" w:hAnsiTheme="majorEastAsia" w:eastAsiaTheme="majorEastAsia" w:cstheme="majorEastAsia"/>
                <w:sz w:val="24"/>
                <w:szCs w:val="24"/>
                <w:highlight w:val="none"/>
              </w:rPr>
              <w:t>中国交通信息科技集团有限公司</w:t>
            </w:r>
            <w:r>
              <w:rPr>
                <w:rFonts w:hint="eastAsia" w:asciiTheme="majorEastAsia" w:hAnsiTheme="majorEastAsia" w:eastAsiaTheme="majorEastAsia" w:cstheme="majorEastAsia"/>
                <w:sz w:val="24"/>
                <w:szCs w:val="24"/>
                <w:highlight w:val="none"/>
                <w:lang w:eastAsia="zh-CN"/>
              </w:rPr>
              <w:t>企业综合实力体现优秀；</w:t>
            </w:r>
            <w:r>
              <w:rPr>
                <w:rFonts w:hint="eastAsia" w:asciiTheme="majorEastAsia" w:hAnsiTheme="majorEastAsia" w:eastAsiaTheme="majorEastAsia" w:cstheme="majorEastAsia"/>
                <w:sz w:val="24"/>
                <w:szCs w:val="24"/>
                <w:highlight w:val="none"/>
              </w:rPr>
              <w:t>②</w:t>
            </w:r>
            <w:r>
              <w:rPr>
                <w:rFonts w:hint="eastAsia" w:asciiTheme="majorEastAsia" w:hAnsiTheme="majorEastAsia" w:eastAsiaTheme="majorEastAsia" w:cstheme="majorEastAsia"/>
                <w:sz w:val="24"/>
                <w:szCs w:val="24"/>
                <w:highlight w:val="none"/>
                <w:lang w:val="en-US" w:eastAsia="zh-CN"/>
              </w:rPr>
              <w:t>山西省邮电建设工程有限公司</w:t>
            </w:r>
            <w:r>
              <w:rPr>
                <w:rFonts w:hint="eastAsia" w:asciiTheme="majorEastAsia" w:hAnsiTheme="majorEastAsia" w:eastAsiaTheme="majorEastAsia" w:cstheme="majorEastAsia"/>
                <w:sz w:val="24"/>
                <w:szCs w:val="24"/>
                <w:highlight w:val="none"/>
                <w:lang w:eastAsia="zh-CN"/>
              </w:rPr>
              <w:t>、</w:t>
            </w:r>
            <w:r>
              <w:rPr>
                <w:rFonts w:hint="eastAsia" w:asciiTheme="majorEastAsia" w:hAnsiTheme="majorEastAsia" w:eastAsiaTheme="majorEastAsia" w:cstheme="majorEastAsia"/>
                <w:sz w:val="24"/>
                <w:szCs w:val="24"/>
                <w:highlight w:val="none"/>
                <w:lang w:val="en-US" w:eastAsia="zh-CN"/>
              </w:rPr>
              <w:t>浙江省公众信息产业有限公司、北京益泰牡丹电子工程有限责任公司</w:t>
            </w:r>
            <w:r>
              <w:rPr>
                <w:rFonts w:hint="eastAsia" w:asciiTheme="majorEastAsia" w:hAnsiTheme="majorEastAsia" w:eastAsiaTheme="majorEastAsia" w:cstheme="majorEastAsia"/>
                <w:sz w:val="24"/>
                <w:szCs w:val="24"/>
                <w:highlight w:val="none"/>
                <w:lang w:eastAsia="zh-CN"/>
              </w:rPr>
              <w:t>企业综合实力</w:t>
            </w:r>
            <w:r>
              <w:rPr>
                <w:rFonts w:hint="eastAsia" w:asciiTheme="majorEastAsia" w:hAnsiTheme="majorEastAsia" w:eastAsiaTheme="majorEastAsia" w:cstheme="majorEastAsia"/>
                <w:sz w:val="24"/>
                <w:szCs w:val="24"/>
                <w:highlight w:val="none"/>
                <w:lang w:val="en-US" w:eastAsia="zh-CN"/>
              </w:rPr>
              <w:t>体现良好。</w:t>
            </w:r>
          </w:p>
          <w:p w14:paraId="2C156162">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投标人</w:t>
            </w:r>
            <w:r>
              <w:rPr>
                <w:rFonts w:hint="eastAsia" w:asciiTheme="majorEastAsia" w:hAnsiTheme="majorEastAsia" w:eastAsiaTheme="majorEastAsia" w:cstheme="majorEastAsia"/>
                <w:sz w:val="24"/>
                <w:szCs w:val="24"/>
                <w:highlight w:val="none"/>
                <w:lang w:eastAsia="zh-CN"/>
              </w:rPr>
              <w:t>商务标评审项目</w:t>
            </w:r>
            <w:r>
              <w:rPr>
                <w:rFonts w:hint="eastAsia" w:asciiTheme="majorEastAsia" w:hAnsiTheme="majorEastAsia" w:eastAsiaTheme="majorEastAsia" w:cstheme="majorEastAsia"/>
                <w:sz w:val="24"/>
                <w:szCs w:val="24"/>
                <w:highlight w:val="none"/>
              </w:rPr>
              <w:t>个人评审</w:t>
            </w:r>
            <w:r>
              <w:rPr>
                <w:rFonts w:hint="eastAsia" w:asciiTheme="majorEastAsia" w:hAnsiTheme="majorEastAsia" w:eastAsiaTheme="majorEastAsia" w:cstheme="majorEastAsia"/>
                <w:sz w:val="24"/>
                <w:szCs w:val="24"/>
                <w:highlight w:val="none"/>
                <w:lang w:val="en-US" w:eastAsia="zh-CN"/>
              </w:rPr>
              <w:t>完成后</w:t>
            </w:r>
            <w:r>
              <w:rPr>
                <w:rFonts w:hint="eastAsia" w:asciiTheme="majorEastAsia" w:hAnsiTheme="majorEastAsia" w:eastAsiaTheme="majorEastAsia" w:cstheme="majorEastAsia"/>
                <w:sz w:val="24"/>
                <w:szCs w:val="24"/>
                <w:highlight w:val="none"/>
              </w:rPr>
              <w:t>，由评标委员会组长对专家的打分情况进行汇总。</w:t>
            </w:r>
          </w:p>
          <w:p w14:paraId="75757183">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eastAsia="zh-CN"/>
              </w:rPr>
              <w:t>评标委员会计算各</w:t>
            </w:r>
            <w:r>
              <w:rPr>
                <w:rFonts w:hint="eastAsia" w:asciiTheme="majorEastAsia" w:hAnsiTheme="majorEastAsia" w:eastAsiaTheme="majorEastAsia" w:cstheme="majorEastAsia"/>
                <w:sz w:val="24"/>
                <w:szCs w:val="24"/>
                <w:highlight w:val="none"/>
              </w:rPr>
              <w:t>投标人的</w:t>
            </w:r>
            <w:r>
              <w:rPr>
                <w:rFonts w:hint="eastAsia" w:asciiTheme="majorEastAsia" w:hAnsiTheme="majorEastAsia" w:eastAsiaTheme="majorEastAsia" w:cstheme="majorEastAsia"/>
                <w:sz w:val="24"/>
                <w:szCs w:val="24"/>
                <w:highlight w:val="none"/>
                <w:lang w:eastAsia="zh-CN"/>
              </w:rPr>
              <w:t>投标报价</w:t>
            </w:r>
            <w:r>
              <w:rPr>
                <w:rFonts w:hint="eastAsia" w:asciiTheme="majorEastAsia" w:hAnsiTheme="majorEastAsia" w:eastAsiaTheme="majorEastAsia" w:cstheme="majorEastAsia"/>
                <w:sz w:val="24"/>
                <w:szCs w:val="24"/>
                <w:highlight w:val="none"/>
                <w:lang w:val="en-US" w:eastAsia="zh-CN"/>
              </w:rPr>
              <w:t>得分。</w:t>
            </w:r>
          </w:p>
          <w:p w14:paraId="32F9CEF5">
            <w:pPr>
              <w:numPr>
                <w:ilvl w:val="0"/>
                <w:numId w:val="3"/>
              </w:numPr>
              <w:bidi w:val="0"/>
              <w:spacing w:line="360" w:lineRule="auto"/>
              <w:ind w:left="0" w:leftChars="0" w:firstLine="400" w:firstLine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各投标人的综合得分=商务标得分+投标报价得分。评标委员会依据招标文件中规定的评标方法确定定标候选人，并向招标人推荐不排名的5位定标候选人。</w:t>
            </w:r>
          </w:p>
          <w:p w14:paraId="7BB0E629">
            <w:pPr>
              <w:numPr>
                <w:ilvl w:val="0"/>
                <w:numId w:val="1"/>
              </w:numPr>
              <w:bidi w:val="0"/>
              <w:spacing w:line="360" w:lineRule="auto"/>
              <w:ind w:left="0" w:leftChars="0" w:firstLine="420" w:firstLineChars="0"/>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宣布评标结果</w:t>
            </w:r>
          </w:p>
          <w:p w14:paraId="2035A6B0">
            <w:pPr>
              <w:numPr>
                <w:ilvl w:val="0"/>
                <w:numId w:val="0"/>
              </w:numPr>
              <w:bidi w:val="0"/>
              <w:spacing w:line="360" w:lineRule="auto"/>
              <w:ind w:left="400" w:leftChars="0"/>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推荐的定标候选人分别为（排名以首字母排序）：</w:t>
            </w:r>
          </w:p>
          <w:p w14:paraId="2DDF3A2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北京益泰牡丹电子工程有限责任公司</w:t>
            </w:r>
          </w:p>
          <w:p w14:paraId="404F4D7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北京云星宇交通科技股份有限公司</w:t>
            </w:r>
          </w:p>
          <w:p w14:paraId="1F5CAA6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山西省邮电建设工程有限公司</w:t>
            </w:r>
          </w:p>
          <w:p w14:paraId="588470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浙江省公众信息产业有限公司</w:t>
            </w:r>
            <w:bookmarkStart w:id="0" w:name="_GoBack"/>
            <w:bookmarkEnd w:id="0"/>
          </w:p>
          <w:p w14:paraId="2CE987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中国交通信息科技集团有限公司</w:t>
            </w:r>
          </w:p>
          <w:p w14:paraId="63793C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p>
          <w:p w14:paraId="21EC2D2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400" w:leftChars="0" w:firstLine="480" w:firstLineChars="200"/>
              <w:textAlignment w:val="baseline"/>
              <w:rPr>
                <w:rFonts w:hint="eastAsia" w:asciiTheme="majorEastAsia" w:hAnsiTheme="majorEastAsia" w:eastAsiaTheme="majorEastAsia" w:cstheme="majorEastAsia"/>
                <w:sz w:val="24"/>
                <w:szCs w:val="24"/>
                <w:highlight w:val="none"/>
                <w:lang w:val="en-US" w:eastAsia="zh-CN"/>
              </w:rPr>
            </w:pPr>
          </w:p>
          <w:p w14:paraId="1799CE5F">
            <w:pPr>
              <w:bidi w:val="0"/>
              <w:spacing w:line="360" w:lineRule="auto"/>
              <w:ind w:firstLine="480" w:firstLineChars="200"/>
              <w:rPr>
                <w:rFonts w:hint="eastAsia" w:asciiTheme="majorEastAsia" w:hAnsiTheme="majorEastAsia" w:eastAsiaTheme="majorEastAsia" w:cstheme="majorEastAsia"/>
              </w:rPr>
            </w:pPr>
            <w:r>
              <w:rPr>
                <w:rFonts w:hint="eastAsia" w:asciiTheme="majorEastAsia" w:hAnsiTheme="majorEastAsia" w:eastAsiaTheme="majorEastAsia" w:cstheme="majorEastAsia"/>
                <w:sz w:val="24"/>
                <w:szCs w:val="24"/>
                <w:highlight w:val="none"/>
                <w:lang w:val="en-US" w:eastAsia="zh-CN"/>
              </w:rPr>
              <w:t>宣布本次评标结束。</w:t>
            </w:r>
          </w:p>
        </w:tc>
      </w:tr>
      <w:tr w14:paraId="35002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3" w:hRule="atLeast"/>
        </w:trPr>
        <w:tc>
          <w:tcPr>
            <w:tcW w:w="10713" w:type="dxa"/>
            <w:vAlign w:val="top"/>
          </w:tcPr>
          <w:p w14:paraId="241FB412">
            <w:pPr>
              <w:pStyle w:val="19"/>
              <w:spacing w:before="84" w:line="222" w:lineRule="auto"/>
              <w:ind w:left="21"/>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4"/>
              </w:rPr>
              <w:t>评委签字：</w:t>
            </w:r>
          </w:p>
        </w:tc>
      </w:tr>
      <w:tr w14:paraId="7609A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10713" w:type="dxa"/>
            <w:vAlign w:val="top"/>
          </w:tcPr>
          <w:p w14:paraId="46EBA0E6">
            <w:pPr>
              <w:pStyle w:val="19"/>
              <w:spacing w:before="211" w:line="223" w:lineRule="auto"/>
              <w:ind w:left="19"/>
              <w:rPr>
                <w:rFonts w:hint="eastAsia" w:asciiTheme="majorEastAsia" w:hAnsiTheme="majorEastAsia" w:eastAsiaTheme="majorEastAsia" w:cstheme="majorEastAsia"/>
              </w:rPr>
            </w:pPr>
            <w:r>
              <w:rPr>
                <w:rFonts w:hint="eastAsia" w:asciiTheme="majorEastAsia" w:hAnsiTheme="majorEastAsia" w:eastAsiaTheme="majorEastAsia" w:cstheme="majorEastAsia"/>
                <w:spacing w:val="-4"/>
                <w:lang w:val="en-US" w:eastAsia="zh-CN"/>
              </w:rPr>
              <w:t>记录</w:t>
            </w:r>
            <w:r>
              <w:rPr>
                <w:rFonts w:hint="eastAsia" w:asciiTheme="majorEastAsia" w:hAnsiTheme="majorEastAsia" w:eastAsiaTheme="majorEastAsia" w:cstheme="majorEastAsia"/>
                <w:spacing w:val="-4"/>
              </w:rPr>
              <w:t>人：</w:t>
            </w:r>
          </w:p>
        </w:tc>
      </w:tr>
    </w:tbl>
    <w:p w14:paraId="081260F4">
      <w:pPr>
        <w:rPr>
          <w:rFonts w:hint="eastAsia" w:asciiTheme="majorEastAsia" w:hAnsiTheme="majorEastAsia" w:eastAsiaTheme="majorEastAsia" w:cstheme="majorEastAsia"/>
          <w:sz w:val="21"/>
        </w:rPr>
      </w:pPr>
    </w:p>
    <w:sectPr>
      <w:headerReference r:id="rId6" w:type="default"/>
      <w:pgSz w:w="11905" w:h="16837"/>
      <w:pgMar w:top="400" w:right="579" w:bottom="0" w:left="60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F5EB2">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A13B5">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114CAA"/>
    <w:multiLevelType w:val="singleLevel"/>
    <w:tmpl w:val="CD114CAA"/>
    <w:lvl w:ilvl="0" w:tentative="0">
      <w:start w:val="1"/>
      <w:numFmt w:val="chineseCounting"/>
      <w:suff w:val="nothing"/>
      <w:lvlText w:val="%1、"/>
      <w:lvlJc w:val="left"/>
      <w:pPr>
        <w:ind w:left="0" w:firstLine="420"/>
      </w:pPr>
      <w:rPr>
        <w:rFonts w:hint="eastAsia"/>
      </w:rPr>
    </w:lvl>
  </w:abstractNum>
  <w:abstractNum w:abstractNumId="1">
    <w:nsid w:val="2601071F"/>
    <w:multiLevelType w:val="singleLevel"/>
    <w:tmpl w:val="2601071F"/>
    <w:lvl w:ilvl="0" w:tentative="0">
      <w:start w:val="1"/>
      <w:numFmt w:val="decimal"/>
      <w:suff w:val="nothing"/>
      <w:lvlText w:val="%1．"/>
      <w:lvlJc w:val="left"/>
      <w:pPr>
        <w:ind w:left="0" w:firstLine="400"/>
      </w:pPr>
      <w:rPr>
        <w:rFonts w:hint="default"/>
      </w:rPr>
    </w:lvl>
  </w:abstractNum>
  <w:abstractNum w:abstractNumId="2">
    <w:nsid w:val="681468F1"/>
    <w:multiLevelType w:val="singleLevel"/>
    <w:tmpl w:val="681468F1"/>
    <w:lvl w:ilvl="0" w:tentative="0">
      <w:start w:val="1"/>
      <w:numFmt w:val="decimal"/>
      <w:suff w:val="nothing"/>
      <w:lvlText w:val="%1．"/>
      <w:lvlJc w:val="left"/>
      <w:pPr>
        <w:ind w:left="0" w:firstLine="4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427C2"/>
    <w:rsid w:val="002D0ED7"/>
    <w:rsid w:val="021653B1"/>
    <w:rsid w:val="022772A2"/>
    <w:rsid w:val="05827424"/>
    <w:rsid w:val="109F6DD2"/>
    <w:rsid w:val="1BCE103D"/>
    <w:rsid w:val="21696FC6"/>
    <w:rsid w:val="22A417D6"/>
    <w:rsid w:val="25415D2D"/>
    <w:rsid w:val="25F51C57"/>
    <w:rsid w:val="26B87E89"/>
    <w:rsid w:val="344454FA"/>
    <w:rsid w:val="35E5532F"/>
    <w:rsid w:val="36126F84"/>
    <w:rsid w:val="366E68DA"/>
    <w:rsid w:val="394C730D"/>
    <w:rsid w:val="39AB4F33"/>
    <w:rsid w:val="3B2E1D95"/>
    <w:rsid w:val="3DA65552"/>
    <w:rsid w:val="3E325001"/>
    <w:rsid w:val="41597CDA"/>
    <w:rsid w:val="47A20796"/>
    <w:rsid w:val="48E629B4"/>
    <w:rsid w:val="4BC230B6"/>
    <w:rsid w:val="58EF7EF3"/>
    <w:rsid w:val="5BEF0302"/>
    <w:rsid w:val="5FF7DA3B"/>
    <w:rsid w:val="6010574C"/>
    <w:rsid w:val="610C68E5"/>
    <w:rsid w:val="62DA24EC"/>
    <w:rsid w:val="63407652"/>
    <w:rsid w:val="6745185A"/>
    <w:rsid w:val="71290DE0"/>
    <w:rsid w:val="74E926C0"/>
    <w:rsid w:val="7D45DA15"/>
    <w:rsid w:val="7F554AC2"/>
    <w:rsid w:val="E6BC71F6"/>
    <w:rsid w:val="EF0D3CF4"/>
    <w:rsid w:val="FDBA322B"/>
    <w:rsid w:val="FE3F10C9"/>
    <w:rsid w:val="FFAF52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pBdr>
        <w:top w:val="single" w:color="auto" w:sz="4" w:space="1"/>
      </w:pBdr>
    </w:pPr>
    <w:rPr>
      <w:b/>
      <w:bCs/>
    </w:rPr>
  </w:style>
  <w:style w:type="character" w:styleId="6">
    <w:name w:val="Strong"/>
    <w:basedOn w:val="5"/>
    <w:qFormat/>
    <w:uiPriority w:val="0"/>
    <w:rPr>
      <w:b/>
      <w:bCs/>
    </w:rPr>
  </w:style>
  <w:style w:type="character" w:styleId="7">
    <w:name w:val="FollowedHyperlink"/>
    <w:basedOn w:val="5"/>
    <w:qFormat/>
    <w:uiPriority w:val="0"/>
    <w:rPr>
      <w:color w:val="5C5C5C"/>
      <w:u w:val="none"/>
    </w:rPr>
  </w:style>
  <w:style w:type="character" w:styleId="8">
    <w:name w:val="Emphasis"/>
    <w:basedOn w:val="5"/>
    <w:qFormat/>
    <w:uiPriority w:val="0"/>
    <w:rPr>
      <w:b/>
      <w:bCs/>
    </w:rPr>
  </w:style>
  <w:style w:type="character" w:styleId="9">
    <w:name w:val="HTML Definition"/>
    <w:basedOn w:val="5"/>
    <w:qFormat/>
    <w:uiPriority w:val="0"/>
  </w:style>
  <w:style w:type="character" w:styleId="10">
    <w:name w:val="HTML Typewriter"/>
    <w:basedOn w:val="5"/>
    <w:qFormat/>
    <w:uiPriority w:val="0"/>
    <w:rPr>
      <w:rFonts w:hint="default" w:ascii="monospace" w:hAnsi="monospace" w:eastAsia="monospace" w:cs="monospace"/>
      <w:sz w:val="20"/>
    </w:rPr>
  </w:style>
  <w:style w:type="character" w:styleId="11">
    <w:name w:val="HTML Acronym"/>
    <w:basedOn w:val="5"/>
    <w:qFormat/>
    <w:uiPriority w:val="0"/>
  </w:style>
  <w:style w:type="character" w:styleId="12">
    <w:name w:val="HTML Variable"/>
    <w:basedOn w:val="5"/>
    <w:qFormat/>
    <w:uiPriority w:val="0"/>
  </w:style>
  <w:style w:type="character" w:styleId="13">
    <w:name w:val="Hyperlink"/>
    <w:basedOn w:val="5"/>
    <w:qFormat/>
    <w:uiPriority w:val="0"/>
    <w:rPr>
      <w:color w:val="5C5C5C"/>
      <w:u w:val="none"/>
    </w:rPr>
  </w:style>
  <w:style w:type="character" w:styleId="14">
    <w:name w:val="HTML Code"/>
    <w:basedOn w:val="5"/>
    <w:qFormat/>
    <w:uiPriority w:val="0"/>
    <w:rPr>
      <w:rFonts w:ascii="monospace" w:hAnsi="monospace" w:eastAsia="monospace" w:cs="monospace"/>
      <w:sz w:val="20"/>
    </w:rPr>
  </w:style>
  <w:style w:type="character" w:styleId="15">
    <w:name w:val="HTML Cite"/>
    <w:basedOn w:val="5"/>
    <w:qFormat/>
    <w:uiPriority w:val="0"/>
  </w:style>
  <w:style w:type="character" w:styleId="16">
    <w:name w:val="HTML Keyboard"/>
    <w:basedOn w:val="5"/>
    <w:qFormat/>
    <w:uiPriority w:val="0"/>
    <w:rPr>
      <w:rFonts w:hint="default" w:ascii="monospace" w:hAnsi="monospace" w:eastAsia="monospace" w:cs="monospace"/>
      <w:sz w:val="20"/>
    </w:rPr>
  </w:style>
  <w:style w:type="character" w:styleId="17">
    <w:name w:val="HTML Sample"/>
    <w:basedOn w:val="5"/>
    <w:qFormat/>
    <w:uiPriority w:val="0"/>
    <w:rPr>
      <w:rFonts w:hint="default" w:ascii="monospace" w:hAnsi="monospace" w:eastAsia="monospace" w:cs="monospace"/>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仿宋" w:hAnsi="仿宋" w:eastAsia="仿宋" w:cs="仿宋"/>
      <w:sz w:val="24"/>
      <w:szCs w:val="24"/>
      <w:lang w:val="en-US" w:eastAsia="en-US" w:bidi="ar-SA"/>
    </w:rPr>
  </w:style>
  <w:style w:type="character" w:customStyle="1" w:styleId="20">
    <w:name w:val="hover"/>
    <w:basedOn w:val="5"/>
    <w:qFormat/>
    <w:uiPriority w:val="0"/>
    <w:rPr>
      <w:color w:val="2590EB"/>
      <w:shd w:val="clear" w:fill="E9F4FD"/>
    </w:rPr>
  </w:style>
  <w:style w:type="character" w:customStyle="1" w:styleId="21">
    <w:name w:val="hover1"/>
    <w:basedOn w:val="5"/>
    <w:qFormat/>
    <w:uiPriority w:val="0"/>
    <w:rPr>
      <w:color w:val="2590EB"/>
    </w:rPr>
  </w:style>
  <w:style w:type="character" w:customStyle="1" w:styleId="22">
    <w:name w:val="hover2"/>
    <w:basedOn w:val="5"/>
    <w:qFormat/>
    <w:uiPriority w:val="0"/>
  </w:style>
  <w:style w:type="character" w:customStyle="1" w:styleId="23">
    <w:name w:val="hover3"/>
    <w:basedOn w:val="5"/>
    <w:qFormat/>
    <w:uiPriority w:val="0"/>
    <w:rPr>
      <w:color w:val="2590EB"/>
    </w:rPr>
  </w:style>
  <w:style w:type="character" w:customStyle="1" w:styleId="24">
    <w:name w:val="hover4"/>
    <w:basedOn w:val="5"/>
    <w:qFormat/>
    <w:uiPriority w:val="0"/>
    <w:rPr>
      <w:color w:val="2590EB"/>
      <w:shd w:val="clear" w:fill="E9F4F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1246</Words>
  <Characters>1267</Characters>
  <TotalTime>0</TotalTime>
  <ScaleCrop>false</ScaleCrop>
  <LinksUpToDate>false</LinksUpToDate>
  <CharactersWithSpaces>1267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2026-03-03T22:58:00Z</dcterms:created>
  <dc:creator>hasee</dc:creator>
  <cp:lastModifiedBy>№周杰</cp:lastModifiedBy>
  <cp:lastPrinted>2026-03-09T16:48:00Z</cp:lastPrinted>
  <dcterms:modified xsi:type="dcterms:W3CDTF">2026-09-07T14:45:21Z</dcterms:modified>
  <dc:title>开标会现场记录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2026-03-05T10:13:00Z</vt:filetime>
  </property>
  <property fmtid="{D5CDD505-2E9C-101B-9397-08002B2CF9AE}" pid="4" name="KSOTemplateDocerSaveRecord">
    <vt:lpwstr>eyJoZGlkIjoiZDMwNjIzOGY5NWU3NjU4YjU0NGQ5MGIyZTUzMWEyMGQiLCJ1c2VySWQiOiI1MTgzODM5MTkifQ==</vt:lpwstr>
  </property>
  <property fmtid="{D5CDD505-2E9C-101B-9397-08002B2CF9AE}" pid="5" name="KSOProductBuildVer">
    <vt:lpwstr>2052-12.1.0.28505</vt:lpwstr>
  </property>
  <property fmtid="{D5CDD505-2E9C-101B-9397-08002B2CF9AE}" pid="6" name="ICV">
    <vt:lpwstr>4D2AFB76BC2346EBA90B2C99955F8A43_13</vt:lpwstr>
  </property>
</Properties>
</file>