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F03979">
      <w:pPr>
        <w:jc w:val="center"/>
        <w:rPr>
          <w:rFonts w:hint="eastAsia" w:ascii="仿宋" w:hAnsi="仿宋" w:eastAsia="仿宋" w:cs="仿宋"/>
          <w:b/>
          <w:sz w:val="40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  <w:lang w:val="en-US" w:eastAsia="zh-CN"/>
        </w:rPr>
        <w:t>开标</w:t>
      </w:r>
      <w:r>
        <w:rPr>
          <w:rFonts w:hint="eastAsia" w:ascii="仿宋" w:hAnsi="仿宋" w:eastAsia="仿宋" w:cs="仿宋"/>
          <w:b/>
          <w:sz w:val="44"/>
          <w:szCs w:val="44"/>
        </w:rPr>
        <w:t>评标</w:t>
      </w:r>
      <w:r>
        <w:rPr>
          <w:rFonts w:hint="eastAsia" w:ascii="仿宋" w:hAnsi="仿宋" w:eastAsia="仿宋" w:cs="仿宋"/>
          <w:b/>
          <w:sz w:val="44"/>
          <w:szCs w:val="44"/>
          <w:lang w:val="en-US" w:eastAsia="zh-CN"/>
        </w:rPr>
        <w:t>会现场</w:t>
      </w:r>
      <w:r>
        <w:rPr>
          <w:rFonts w:hint="eastAsia" w:ascii="仿宋" w:hAnsi="仿宋" w:eastAsia="仿宋" w:cs="仿宋"/>
          <w:b/>
          <w:sz w:val="44"/>
          <w:szCs w:val="44"/>
        </w:rPr>
        <w:t>记录</w:t>
      </w:r>
    </w:p>
    <w:p w14:paraId="1486C73A">
      <w:pPr>
        <w:ind w:left="1439" w:leftChars="114" w:hanging="1200" w:hangingChars="500"/>
        <w:rPr>
          <w:rFonts w:hint="eastAsia" w:ascii="仿宋" w:hAnsi="仿宋" w:eastAsia="仿宋" w:cs="仿宋"/>
          <w:sz w:val="24"/>
          <w:lang w:eastAsia="zh-CN"/>
        </w:rPr>
      </w:pPr>
      <w:r>
        <w:rPr>
          <w:rFonts w:hint="eastAsia" w:ascii="仿宋" w:hAnsi="仿宋" w:eastAsia="仿宋" w:cs="仿宋"/>
          <w:sz w:val="24"/>
        </w:rPr>
        <w:t xml:space="preserve">项目名称：克拉玛依市白碱滩区老旧街区改造项目（二期）-中兴路街道东片区老旧小区改造项目工程总承包   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710"/>
        <w:gridCol w:w="2953"/>
        <w:gridCol w:w="1849"/>
        <w:gridCol w:w="2795"/>
      </w:tblGrid>
      <w:tr w14:paraId="13823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45" w:type="dxa"/>
            <w:gridSpan w:val="2"/>
            <w:noWrap w:val="0"/>
            <w:vAlign w:val="center"/>
          </w:tcPr>
          <w:p w14:paraId="486AE7FC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招标代理机构</w:t>
            </w:r>
          </w:p>
        </w:tc>
        <w:tc>
          <w:tcPr>
            <w:tcW w:w="7597" w:type="dxa"/>
            <w:gridSpan w:val="3"/>
            <w:noWrap w:val="0"/>
            <w:vAlign w:val="center"/>
          </w:tcPr>
          <w:p w14:paraId="5FB7B5D1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新疆秦之玺工程咨询有限责任公司</w:t>
            </w:r>
          </w:p>
        </w:tc>
      </w:tr>
      <w:tr w14:paraId="3BF9A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345" w:type="dxa"/>
            <w:gridSpan w:val="2"/>
            <w:noWrap w:val="0"/>
            <w:vAlign w:val="center"/>
          </w:tcPr>
          <w:p w14:paraId="5EF06D3C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开标主持人</w:t>
            </w:r>
          </w:p>
        </w:tc>
        <w:tc>
          <w:tcPr>
            <w:tcW w:w="2953" w:type="dxa"/>
            <w:noWrap w:val="0"/>
            <w:vAlign w:val="center"/>
          </w:tcPr>
          <w:p w14:paraId="7B6A8DDA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易丹</w:t>
            </w:r>
          </w:p>
        </w:tc>
        <w:tc>
          <w:tcPr>
            <w:tcW w:w="1849" w:type="dxa"/>
            <w:noWrap w:val="0"/>
            <w:vAlign w:val="center"/>
          </w:tcPr>
          <w:p w14:paraId="17B99CF9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现场监督</w:t>
            </w:r>
          </w:p>
        </w:tc>
        <w:tc>
          <w:tcPr>
            <w:tcW w:w="2795" w:type="dxa"/>
            <w:noWrap w:val="0"/>
            <w:vAlign w:val="center"/>
          </w:tcPr>
          <w:p w14:paraId="1E99585C">
            <w:pPr>
              <w:jc w:val="center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阿依加娜提</w:t>
            </w:r>
          </w:p>
        </w:tc>
      </w:tr>
      <w:tr w14:paraId="6CA7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345" w:type="dxa"/>
            <w:gridSpan w:val="2"/>
            <w:noWrap w:val="0"/>
            <w:vAlign w:val="center"/>
          </w:tcPr>
          <w:p w14:paraId="6654E938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开标时间</w:t>
            </w:r>
          </w:p>
        </w:tc>
        <w:tc>
          <w:tcPr>
            <w:tcW w:w="2953" w:type="dxa"/>
            <w:noWrap w:val="0"/>
            <w:vAlign w:val="center"/>
          </w:tcPr>
          <w:p w14:paraId="5EF4C230">
            <w:pPr>
              <w:jc w:val="center"/>
              <w:rPr>
                <w:rFonts w:hint="default" w:ascii="仿宋" w:hAnsi="仿宋" w:eastAsia="仿宋" w:cs="仿宋"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/>
              </w:rPr>
              <w:t>26日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0</w:t>
            </w:r>
          </w:p>
        </w:tc>
        <w:tc>
          <w:tcPr>
            <w:tcW w:w="1849" w:type="dxa"/>
            <w:noWrap w:val="0"/>
            <w:vAlign w:val="center"/>
          </w:tcPr>
          <w:p w14:paraId="4AC43A50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开标地点</w:t>
            </w:r>
          </w:p>
        </w:tc>
        <w:tc>
          <w:tcPr>
            <w:tcW w:w="2795" w:type="dxa"/>
            <w:noWrap w:val="0"/>
            <w:vAlign w:val="center"/>
          </w:tcPr>
          <w:p w14:paraId="3BC3ED58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克拉玛依市公共资源交易中心</w:t>
            </w:r>
          </w:p>
        </w:tc>
      </w:tr>
      <w:tr w14:paraId="6051E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9942" w:type="dxa"/>
            <w:gridSpan w:val="5"/>
            <w:noWrap w:val="0"/>
            <w:vAlign w:val="center"/>
          </w:tcPr>
          <w:p w14:paraId="2F930B09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评标内容：</w:t>
            </w:r>
          </w:p>
        </w:tc>
      </w:tr>
      <w:tr w14:paraId="11055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4" w:hRule="atLeast"/>
          <w:jc w:val="center"/>
        </w:trPr>
        <w:tc>
          <w:tcPr>
            <w:tcW w:w="9942" w:type="dxa"/>
            <w:gridSpan w:val="5"/>
            <w:noWrap w:val="0"/>
            <w:vAlign w:val="top"/>
          </w:tcPr>
          <w:p w14:paraId="2D5E8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一、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  <w:t>不见面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开标（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: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0）</w:t>
            </w:r>
          </w:p>
          <w:p w14:paraId="0F4C5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1、克拉玛依市政务服务和公共资源交易中心开标一室，本项目潜在投标人共计81家，在投标截止时间前31家投标单位（新疆苏中建设工程有限公司、永升建设集团有限公司、太原市第一建筑工程集团有限公司、克拉玛依市金牛工程建设有限责任公司、广西农垦建设工程有限公司、中国建筑第六工程局有限公司、中铁二十三局集团有限公司、中盛万安建设集团有限公司、河南省大成建设工程有限公司、巨茂建设投资有限公司、天津六建建筑工程有限公司、浙江嘉兴中达建设有限公司、江西新一建筑工程公司、重庆建工集团股份有限公司、 福建三建工程有限公司、福建省富林市政集团有限公司、大元建业集团股份有限公司、广东华辉建设有限公司、北旺集团有限公司、鑫景舟建设集团有限公司、衢州市政园林股份有限公司、中交一公局集团有限公司、中建新疆建工（集团）有限公司、建邦技术集团有限公司、中铁二局集团有限公司、广州市第三建筑工程有限公司、中核西北建设集团有限公司、中大建设股份有限公司、新疆昌吉建设（集团）有限责任公司、洛阳旭阳建设集团有限公司、江西昌南建设集团有限公司）递交了投标文件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工作人员在克拉玛依市公共资源交易网“不见面”交易大厅触发“开始解密”功能后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最终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31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位投标人的投标文件均解密成功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进入唱标阶段；</w:t>
            </w:r>
          </w:p>
          <w:p w14:paraId="19C1E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招标代理工作人员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进行唱标，唱标完毕后，各投标单位对唱标内容均无异议；</w:t>
            </w:r>
          </w:p>
          <w:p w14:paraId="2ED99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3、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由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招标人代表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根据招标文件规定的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α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β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基准价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取值范围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，在“不见面开标大厅”系统中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随机抽取α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β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数值，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招标人代表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抽取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α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数值为</w:t>
            </w:r>
            <w:r>
              <w:rPr>
                <w:rFonts w:hint="eastAsia" w:ascii="仿宋" w:hAnsi="仿宋" w:eastAsia="仿宋" w:cs="仿宋"/>
                <w:sz w:val="24"/>
                <w:highlight w:val="none"/>
                <w:u w:val="single"/>
                <w:lang w:val="en-US" w:eastAsia="zh-CN"/>
              </w:rPr>
              <w:t>0%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β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数值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为</w:t>
            </w:r>
            <w:r>
              <w:rPr>
                <w:rFonts w:hint="eastAsia" w:ascii="仿宋" w:hAnsi="仿宋" w:eastAsia="仿宋" w:cs="仿宋"/>
                <w:sz w:val="24"/>
                <w:highlight w:val="none"/>
                <w:u w:val="single"/>
                <w:lang w:val="en-US" w:eastAsia="zh-CN"/>
              </w:rPr>
              <w:t>5%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。</w:t>
            </w:r>
          </w:p>
          <w:p w14:paraId="12C78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4、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开标结束。</w:t>
            </w:r>
          </w:p>
          <w:p w14:paraId="2544D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highlight w:val="none"/>
              </w:rPr>
              <w:t>二、</w:t>
            </w:r>
            <w:r>
              <w:rPr>
                <w:rFonts w:hint="eastAsia" w:ascii="仿宋" w:hAnsi="仿宋" w:eastAsia="仿宋"/>
                <w:b/>
                <w:color w:val="auto"/>
                <w:sz w:val="24"/>
                <w:highlight w:val="none"/>
                <w:lang w:val="en-US" w:eastAsia="zh-CN"/>
              </w:rPr>
              <w:t>电子评标</w:t>
            </w:r>
          </w:p>
          <w:p w14:paraId="6345F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1、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各位评委签到；</w:t>
            </w:r>
          </w:p>
          <w:p w14:paraId="193C9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主持人向各位评委介绍本项目基本概况、招标范围、评标方法等内容，并向评委征询有无疑问，无评委有疑问。</w:t>
            </w:r>
          </w:p>
          <w:p w14:paraId="58B64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介绍本次评标委员会的组成：本次评标委员会由</w:t>
            </w:r>
            <w:r>
              <w:rPr>
                <w:rFonts w:hint="eastAsia" w:ascii="仿宋" w:hAnsi="仿宋" w:eastAsia="仿宋" w:cs="仿宋"/>
                <w:sz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u w:val="single"/>
              </w:rPr>
              <w:t>7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人组成，其中招标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人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代表</w:t>
            </w:r>
            <w:r>
              <w:rPr>
                <w:rFonts w:hint="eastAsia" w:ascii="仿宋" w:hAnsi="仿宋" w:eastAsia="仿宋" w:cs="仿宋"/>
                <w:sz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u w:val="single"/>
                <w:lang w:val="en-US" w:eastAsia="zh-CN"/>
              </w:rPr>
              <w:t xml:space="preserve">2 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人，其余经济技术类专家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u w:val="single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人，在建设工程交易中心专家库中随机抽取。现场监督为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白碱滩区住房和建设局招标投标管理办公室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的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  <w:u w:val="single"/>
              </w:rPr>
              <w:t>阿依加娜提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。</w:t>
            </w:r>
            <w:bookmarkStart w:id="0" w:name="_GoBack"/>
            <w:bookmarkEnd w:id="0"/>
          </w:p>
          <w:p w14:paraId="0CF35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、主持人向各位评委介绍电子评标系统基本流程及会场秩序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本次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评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标共分为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个阶段，第一阶段初步评审，第二阶段详细评审,通过第一阶段初步评审的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投标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单位进入第二阶段详细评审，根据详细评审结果，评标委员会推荐五家入围投标人，进行技术标定性评审。</w:t>
            </w:r>
          </w:p>
          <w:p w14:paraId="432FB6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5、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评标开始，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进行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初步评审，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经评委评审，各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投标单位初步评审均通过。符合招标文件要求，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进入下一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阶段详细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评审。</w:t>
            </w:r>
          </w:p>
          <w:p w14:paraId="40C99F61">
            <w:pP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6、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在商务标评审过程中，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中铁二局集团有限公司、广州市第三建筑工程有限公司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机构人员配置合理，有完整、合理的施工现场项目管理人员现场管理规程、制度、考核、奖罚办法及保证措施，工程总承包施工成本控制措施及风险分析方案完善、明确，设备、材料采购成本控制措施及计划合理；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其余投标单位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项目管理机构人员配置较为合理，有比较完整、合理的施工现场项目管理人员现场管理规程、制度、考核、奖罚办法及保证措施，工程总承包施工成本控制措施及风险分析方案基本完善、明确，设备、材料采购成本控制措施及计划基本合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</w:p>
          <w:p w14:paraId="5532A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7、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评标委员会对各投标人的商务标、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投标报价、信用评价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进行计算、汇总及排名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并根据排名推荐经评审的入围投标人为：重庆建工集团股份有限公司、大元建业集团股份有限公司、福建三建工程有限公司、广州市第三建筑工程有限公司、中铁二局集团有限公司。</w:t>
            </w:r>
          </w:p>
          <w:p w14:paraId="0EFB89F6">
            <w:pP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8、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</w:rPr>
              <w:t>经上阶段评审合格的入围投标人，由评标委员会按照技术标定性评审标准进行评审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</w:rPr>
              <w:t>评标委员会成员指出每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  <w:lang w:val="en-US" w:eastAsia="zh-CN"/>
              </w:rPr>
              <w:t>位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</w:rPr>
              <w:t>投标人技术标的优点和存在的缺陷、签订合同前应注意和澄清的事项等情况；评委个人评审完成后，由评标委员会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  <w:lang w:val="en-US" w:eastAsia="zh-CN"/>
              </w:rPr>
              <w:t>组长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</w:rPr>
              <w:t>按照技术标定性评审汇总表汇总评审情况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。</w:t>
            </w:r>
          </w:p>
          <w:p w14:paraId="0577E2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方正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方正仿宋_GB2312"/>
                <w:sz w:val="24"/>
                <w:highlight w:val="none"/>
                <w:lang w:val="en-US" w:eastAsia="zh-CN"/>
              </w:rPr>
              <w:t>9、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</w:rPr>
              <w:t>评标委员会向招标人推荐不排序的定标候选人。</w:t>
            </w:r>
          </w:p>
          <w:p w14:paraId="6D37A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  <w:t>三、宣布评标结果</w:t>
            </w:r>
          </w:p>
          <w:p w14:paraId="3BB81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推荐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定标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候选人为：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  <w:lang w:val="en-US" w:eastAsia="zh-CN"/>
              </w:rPr>
              <w:t xml:space="preserve">  </w:t>
            </w:r>
          </w:p>
          <w:p w14:paraId="226CC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重庆建工集团股份有限公司</w:t>
            </w:r>
          </w:p>
          <w:p w14:paraId="666D3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大元建业集团股份有限公司</w:t>
            </w:r>
          </w:p>
          <w:p w14:paraId="38690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福建三建工程有限公司</w:t>
            </w:r>
          </w:p>
          <w:p w14:paraId="3174C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广州市第三建筑工程有限公司</w:t>
            </w:r>
          </w:p>
          <w:p w14:paraId="08CC2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中铁二局集团有限公司</w:t>
            </w:r>
          </w:p>
          <w:p w14:paraId="46604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评标委员会全体成员在“评分汇总表”、“开标评标会现场记录”等签字确认评标结果，并对评标结果负责。</w:t>
            </w:r>
          </w:p>
          <w:p w14:paraId="1A6B34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招标代理机构工作人员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宣布开标、评标会议结束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。</w:t>
            </w:r>
          </w:p>
        </w:tc>
      </w:tr>
      <w:tr w14:paraId="64740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1635" w:type="dxa"/>
            <w:noWrap w:val="0"/>
            <w:vAlign w:val="center"/>
          </w:tcPr>
          <w:p w14:paraId="53AD20C4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评委签字</w:t>
            </w:r>
          </w:p>
        </w:tc>
        <w:tc>
          <w:tcPr>
            <w:tcW w:w="8307" w:type="dxa"/>
            <w:gridSpan w:val="4"/>
            <w:noWrap w:val="0"/>
            <w:vAlign w:val="center"/>
          </w:tcPr>
          <w:p w14:paraId="42F50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</w:tbl>
    <w:p w14:paraId="5EB3F783">
      <w:pPr>
        <w:spacing w:line="360" w:lineRule="auto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</w:rPr>
        <w:t xml:space="preserve">记录人：                                      </w:t>
      </w:r>
    </w:p>
    <w:sectPr>
      <w:headerReference r:id="rId3" w:type="default"/>
      <w:pgSz w:w="11906" w:h="16838"/>
      <w:pgMar w:top="850" w:right="850" w:bottom="850" w:left="85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17E7B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yYjk5OWE1NDNmZDE2ZDA1YTVlNGFlM2FhNjlkMjAifQ=="/>
  </w:docVars>
  <w:rsids>
    <w:rsidRoot w:val="00172A27"/>
    <w:rsid w:val="0003120F"/>
    <w:rsid w:val="00034B67"/>
    <w:rsid w:val="00044FA7"/>
    <w:rsid w:val="00055FA6"/>
    <w:rsid w:val="00070B98"/>
    <w:rsid w:val="000764B9"/>
    <w:rsid w:val="000818AA"/>
    <w:rsid w:val="00085C4F"/>
    <w:rsid w:val="000A0272"/>
    <w:rsid w:val="000A3D97"/>
    <w:rsid w:val="000A6892"/>
    <w:rsid w:val="000B43AB"/>
    <w:rsid w:val="000C6C89"/>
    <w:rsid w:val="000D28D7"/>
    <w:rsid w:val="000D5F7F"/>
    <w:rsid w:val="000E143C"/>
    <w:rsid w:val="00102845"/>
    <w:rsid w:val="001034C5"/>
    <w:rsid w:val="001166A0"/>
    <w:rsid w:val="00120CAB"/>
    <w:rsid w:val="0012283E"/>
    <w:rsid w:val="0014345E"/>
    <w:rsid w:val="00153369"/>
    <w:rsid w:val="0015595B"/>
    <w:rsid w:val="00165A80"/>
    <w:rsid w:val="00170F72"/>
    <w:rsid w:val="00175350"/>
    <w:rsid w:val="00183557"/>
    <w:rsid w:val="0018679C"/>
    <w:rsid w:val="001A0C37"/>
    <w:rsid w:val="001A7223"/>
    <w:rsid w:val="001B20AF"/>
    <w:rsid w:val="001B32E9"/>
    <w:rsid w:val="001C68E0"/>
    <w:rsid w:val="001D2B65"/>
    <w:rsid w:val="001E481D"/>
    <w:rsid w:val="00204AFC"/>
    <w:rsid w:val="002061C8"/>
    <w:rsid w:val="00244A5A"/>
    <w:rsid w:val="00244B1C"/>
    <w:rsid w:val="002468B0"/>
    <w:rsid w:val="00262837"/>
    <w:rsid w:val="00265759"/>
    <w:rsid w:val="00272272"/>
    <w:rsid w:val="00272920"/>
    <w:rsid w:val="002820FE"/>
    <w:rsid w:val="00297AB3"/>
    <w:rsid w:val="002A3644"/>
    <w:rsid w:val="002C6262"/>
    <w:rsid w:val="002C72FA"/>
    <w:rsid w:val="002C7AD7"/>
    <w:rsid w:val="002E21F2"/>
    <w:rsid w:val="002E2BDC"/>
    <w:rsid w:val="002E46F6"/>
    <w:rsid w:val="002F4F3B"/>
    <w:rsid w:val="002F5030"/>
    <w:rsid w:val="0031105D"/>
    <w:rsid w:val="00322CC8"/>
    <w:rsid w:val="0032594E"/>
    <w:rsid w:val="0032662B"/>
    <w:rsid w:val="00334210"/>
    <w:rsid w:val="00335535"/>
    <w:rsid w:val="00337F34"/>
    <w:rsid w:val="00344BA3"/>
    <w:rsid w:val="00347695"/>
    <w:rsid w:val="003503B2"/>
    <w:rsid w:val="003526FD"/>
    <w:rsid w:val="00360EB1"/>
    <w:rsid w:val="00367E00"/>
    <w:rsid w:val="003741AD"/>
    <w:rsid w:val="00376300"/>
    <w:rsid w:val="0039751F"/>
    <w:rsid w:val="003C2842"/>
    <w:rsid w:val="003D1810"/>
    <w:rsid w:val="003D32BD"/>
    <w:rsid w:val="003F4DFC"/>
    <w:rsid w:val="003F50C3"/>
    <w:rsid w:val="003F776D"/>
    <w:rsid w:val="00403348"/>
    <w:rsid w:val="0040571F"/>
    <w:rsid w:val="00406B7A"/>
    <w:rsid w:val="00420732"/>
    <w:rsid w:val="004219BA"/>
    <w:rsid w:val="00423E10"/>
    <w:rsid w:val="00435833"/>
    <w:rsid w:val="00436351"/>
    <w:rsid w:val="00453152"/>
    <w:rsid w:val="00466115"/>
    <w:rsid w:val="0048510C"/>
    <w:rsid w:val="004A5B52"/>
    <w:rsid w:val="004B549F"/>
    <w:rsid w:val="004B5508"/>
    <w:rsid w:val="004C10DE"/>
    <w:rsid w:val="004C2A82"/>
    <w:rsid w:val="004D0914"/>
    <w:rsid w:val="004E4686"/>
    <w:rsid w:val="00502605"/>
    <w:rsid w:val="00505DC4"/>
    <w:rsid w:val="0051206D"/>
    <w:rsid w:val="00515E30"/>
    <w:rsid w:val="00523AE1"/>
    <w:rsid w:val="005267E3"/>
    <w:rsid w:val="00545B02"/>
    <w:rsid w:val="00550C44"/>
    <w:rsid w:val="00565522"/>
    <w:rsid w:val="00567AEC"/>
    <w:rsid w:val="005757AF"/>
    <w:rsid w:val="005814E6"/>
    <w:rsid w:val="005840EC"/>
    <w:rsid w:val="005921BF"/>
    <w:rsid w:val="005A397D"/>
    <w:rsid w:val="005C3089"/>
    <w:rsid w:val="005D7BB6"/>
    <w:rsid w:val="005E2FCB"/>
    <w:rsid w:val="005E42F8"/>
    <w:rsid w:val="005F4590"/>
    <w:rsid w:val="00600A50"/>
    <w:rsid w:val="006074EF"/>
    <w:rsid w:val="00610AA8"/>
    <w:rsid w:val="00620CBE"/>
    <w:rsid w:val="00633414"/>
    <w:rsid w:val="00636019"/>
    <w:rsid w:val="00641549"/>
    <w:rsid w:val="00653375"/>
    <w:rsid w:val="00664DFC"/>
    <w:rsid w:val="006662E0"/>
    <w:rsid w:val="0067799F"/>
    <w:rsid w:val="00680E05"/>
    <w:rsid w:val="0068204F"/>
    <w:rsid w:val="006B050D"/>
    <w:rsid w:val="006B26A5"/>
    <w:rsid w:val="006B4F66"/>
    <w:rsid w:val="006B777D"/>
    <w:rsid w:val="006C22C8"/>
    <w:rsid w:val="006C4DDE"/>
    <w:rsid w:val="006E09DF"/>
    <w:rsid w:val="006E3A2A"/>
    <w:rsid w:val="006E6B06"/>
    <w:rsid w:val="00702C73"/>
    <w:rsid w:val="0070536D"/>
    <w:rsid w:val="0071389C"/>
    <w:rsid w:val="00743D7E"/>
    <w:rsid w:val="00746847"/>
    <w:rsid w:val="0075018C"/>
    <w:rsid w:val="007514B6"/>
    <w:rsid w:val="007637BF"/>
    <w:rsid w:val="007642B8"/>
    <w:rsid w:val="0077320E"/>
    <w:rsid w:val="00781F28"/>
    <w:rsid w:val="00787669"/>
    <w:rsid w:val="007954E4"/>
    <w:rsid w:val="00796633"/>
    <w:rsid w:val="007A066E"/>
    <w:rsid w:val="007B751A"/>
    <w:rsid w:val="007C0DC1"/>
    <w:rsid w:val="007C4344"/>
    <w:rsid w:val="007C587D"/>
    <w:rsid w:val="007F6699"/>
    <w:rsid w:val="00804EB1"/>
    <w:rsid w:val="0081275F"/>
    <w:rsid w:val="00813150"/>
    <w:rsid w:val="00817D49"/>
    <w:rsid w:val="00827A80"/>
    <w:rsid w:val="00832BCA"/>
    <w:rsid w:val="008354B5"/>
    <w:rsid w:val="008372CF"/>
    <w:rsid w:val="00841354"/>
    <w:rsid w:val="00861195"/>
    <w:rsid w:val="00863D47"/>
    <w:rsid w:val="00872257"/>
    <w:rsid w:val="0087330A"/>
    <w:rsid w:val="00873640"/>
    <w:rsid w:val="00874B93"/>
    <w:rsid w:val="00876B54"/>
    <w:rsid w:val="008850FB"/>
    <w:rsid w:val="00886BB4"/>
    <w:rsid w:val="0089294B"/>
    <w:rsid w:val="00894295"/>
    <w:rsid w:val="00895246"/>
    <w:rsid w:val="008A1B07"/>
    <w:rsid w:val="008A37F6"/>
    <w:rsid w:val="008B688B"/>
    <w:rsid w:val="008E3607"/>
    <w:rsid w:val="00935BF5"/>
    <w:rsid w:val="00951D8A"/>
    <w:rsid w:val="00963A5C"/>
    <w:rsid w:val="00972B5D"/>
    <w:rsid w:val="0097498D"/>
    <w:rsid w:val="009759C4"/>
    <w:rsid w:val="009917A6"/>
    <w:rsid w:val="00994AE7"/>
    <w:rsid w:val="009A1DCE"/>
    <w:rsid w:val="009B5F0F"/>
    <w:rsid w:val="009E7822"/>
    <w:rsid w:val="009F1924"/>
    <w:rsid w:val="009F1BD1"/>
    <w:rsid w:val="00A03F55"/>
    <w:rsid w:val="00A148FE"/>
    <w:rsid w:val="00A25A9F"/>
    <w:rsid w:val="00A26410"/>
    <w:rsid w:val="00A46393"/>
    <w:rsid w:val="00A51F6F"/>
    <w:rsid w:val="00A55721"/>
    <w:rsid w:val="00A80ACF"/>
    <w:rsid w:val="00A80ED5"/>
    <w:rsid w:val="00A8258C"/>
    <w:rsid w:val="00AA446A"/>
    <w:rsid w:val="00AA66C8"/>
    <w:rsid w:val="00AA7F07"/>
    <w:rsid w:val="00AC091A"/>
    <w:rsid w:val="00AC1119"/>
    <w:rsid w:val="00AE630A"/>
    <w:rsid w:val="00AF04CF"/>
    <w:rsid w:val="00B15413"/>
    <w:rsid w:val="00B2791A"/>
    <w:rsid w:val="00B3755D"/>
    <w:rsid w:val="00B4255D"/>
    <w:rsid w:val="00B527B9"/>
    <w:rsid w:val="00B6417B"/>
    <w:rsid w:val="00B70861"/>
    <w:rsid w:val="00B724E1"/>
    <w:rsid w:val="00B7372F"/>
    <w:rsid w:val="00B93E64"/>
    <w:rsid w:val="00BA362D"/>
    <w:rsid w:val="00BA5A7F"/>
    <w:rsid w:val="00BB2EBF"/>
    <w:rsid w:val="00BD3E71"/>
    <w:rsid w:val="00BE7B70"/>
    <w:rsid w:val="00BF4CC1"/>
    <w:rsid w:val="00C11C5B"/>
    <w:rsid w:val="00C23DD1"/>
    <w:rsid w:val="00C350EF"/>
    <w:rsid w:val="00C42039"/>
    <w:rsid w:val="00C45AEF"/>
    <w:rsid w:val="00C47AAD"/>
    <w:rsid w:val="00C52B98"/>
    <w:rsid w:val="00C533AE"/>
    <w:rsid w:val="00C5478D"/>
    <w:rsid w:val="00C56989"/>
    <w:rsid w:val="00C718FE"/>
    <w:rsid w:val="00C74395"/>
    <w:rsid w:val="00C82263"/>
    <w:rsid w:val="00C82C17"/>
    <w:rsid w:val="00C9289E"/>
    <w:rsid w:val="00C9571B"/>
    <w:rsid w:val="00C95AE7"/>
    <w:rsid w:val="00CA10B4"/>
    <w:rsid w:val="00CA76F3"/>
    <w:rsid w:val="00CB30C4"/>
    <w:rsid w:val="00CC299C"/>
    <w:rsid w:val="00CC711E"/>
    <w:rsid w:val="00CD792A"/>
    <w:rsid w:val="00D0070B"/>
    <w:rsid w:val="00D04B20"/>
    <w:rsid w:val="00D24A88"/>
    <w:rsid w:val="00D24E97"/>
    <w:rsid w:val="00D315F1"/>
    <w:rsid w:val="00D45E01"/>
    <w:rsid w:val="00D50321"/>
    <w:rsid w:val="00D511F7"/>
    <w:rsid w:val="00D52AB4"/>
    <w:rsid w:val="00D574EA"/>
    <w:rsid w:val="00DA08A1"/>
    <w:rsid w:val="00DA2D2C"/>
    <w:rsid w:val="00DD162C"/>
    <w:rsid w:val="00DE4B1F"/>
    <w:rsid w:val="00DE6251"/>
    <w:rsid w:val="00E04E06"/>
    <w:rsid w:val="00E05B29"/>
    <w:rsid w:val="00E1476B"/>
    <w:rsid w:val="00E33673"/>
    <w:rsid w:val="00E340C7"/>
    <w:rsid w:val="00E636A7"/>
    <w:rsid w:val="00E65DAC"/>
    <w:rsid w:val="00E70BED"/>
    <w:rsid w:val="00E73D9A"/>
    <w:rsid w:val="00E74D86"/>
    <w:rsid w:val="00E87286"/>
    <w:rsid w:val="00EA6F59"/>
    <w:rsid w:val="00EB30EE"/>
    <w:rsid w:val="00ED0205"/>
    <w:rsid w:val="00EE21DE"/>
    <w:rsid w:val="00EE306F"/>
    <w:rsid w:val="00EE49FA"/>
    <w:rsid w:val="00EF2BB2"/>
    <w:rsid w:val="00EF2D53"/>
    <w:rsid w:val="00EF3397"/>
    <w:rsid w:val="00F04442"/>
    <w:rsid w:val="00F06C2B"/>
    <w:rsid w:val="00F20DAE"/>
    <w:rsid w:val="00F26A41"/>
    <w:rsid w:val="00F3419B"/>
    <w:rsid w:val="00F55AAB"/>
    <w:rsid w:val="00F6292E"/>
    <w:rsid w:val="00F82494"/>
    <w:rsid w:val="00FB2C75"/>
    <w:rsid w:val="00FC1A50"/>
    <w:rsid w:val="00FD02EB"/>
    <w:rsid w:val="00FD111B"/>
    <w:rsid w:val="00FE7ECE"/>
    <w:rsid w:val="00FF14A5"/>
    <w:rsid w:val="0120670E"/>
    <w:rsid w:val="012375FA"/>
    <w:rsid w:val="02B827E3"/>
    <w:rsid w:val="03865CF3"/>
    <w:rsid w:val="03D64987"/>
    <w:rsid w:val="048E7480"/>
    <w:rsid w:val="04ED779A"/>
    <w:rsid w:val="056179E1"/>
    <w:rsid w:val="064C6D4B"/>
    <w:rsid w:val="069D39AB"/>
    <w:rsid w:val="06A33F0A"/>
    <w:rsid w:val="074D0ED6"/>
    <w:rsid w:val="076651F9"/>
    <w:rsid w:val="076C74DA"/>
    <w:rsid w:val="07813810"/>
    <w:rsid w:val="078A1921"/>
    <w:rsid w:val="07C00EC1"/>
    <w:rsid w:val="07E040E7"/>
    <w:rsid w:val="07FA48B4"/>
    <w:rsid w:val="083821C1"/>
    <w:rsid w:val="08DA3F17"/>
    <w:rsid w:val="08E268A5"/>
    <w:rsid w:val="09404760"/>
    <w:rsid w:val="09711993"/>
    <w:rsid w:val="0A050FA9"/>
    <w:rsid w:val="0A11576F"/>
    <w:rsid w:val="0ADA4475"/>
    <w:rsid w:val="0B5F5F36"/>
    <w:rsid w:val="0B904402"/>
    <w:rsid w:val="0BE703D0"/>
    <w:rsid w:val="0CD50B4A"/>
    <w:rsid w:val="0CF1468E"/>
    <w:rsid w:val="0D3327EB"/>
    <w:rsid w:val="0DB43043"/>
    <w:rsid w:val="0E2C45CC"/>
    <w:rsid w:val="0F5D3F88"/>
    <w:rsid w:val="0F9330C3"/>
    <w:rsid w:val="0F93322E"/>
    <w:rsid w:val="0F9F7172"/>
    <w:rsid w:val="0FDA0B46"/>
    <w:rsid w:val="100F5C2A"/>
    <w:rsid w:val="107531FC"/>
    <w:rsid w:val="10BD3789"/>
    <w:rsid w:val="129D0F1F"/>
    <w:rsid w:val="13031A43"/>
    <w:rsid w:val="13BB3463"/>
    <w:rsid w:val="158A7740"/>
    <w:rsid w:val="15D846CD"/>
    <w:rsid w:val="173914CE"/>
    <w:rsid w:val="17492063"/>
    <w:rsid w:val="177B7D8B"/>
    <w:rsid w:val="1790042B"/>
    <w:rsid w:val="17B600FE"/>
    <w:rsid w:val="18B7340D"/>
    <w:rsid w:val="19C909FB"/>
    <w:rsid w:val="1A22449B"/>
    <w:rsid w:val="1AE5202D"/>
    <w:rsid w:val="1B2B00A5"/>
    <w:rsid w:val="1C315E8F"/>
    <w:rsid w:val="1C805BC0"/>
    <w:rsid w:val="1CFE2B0F"/>
    <w:rsid w:val="1D907783"/>
    <w:rsid w:val="1D9B0B88"/>
    <w:rsid w:val="1DE37B53"/>
    <w:rsid w:val="1E786747"/>
    <w:rsid w:val="1EEE02A9"/>
    <w:rsid w:val="1F95376B"/>
    <w:rsid w:val="1FAB6CE1"/>
    <w:rsid w:val="20423E89"/>
    <w:rsid w:val="209F5271"/>
    <w:rsid w:val="217355DC"/>
    <w:rsid w:val="21E9094A"/>
    <w:rsid w:val="22936354"/>
    <w:rsid w:val="22DA1AB6"/>
    <w:rsid w:val="22FF0EF1"/>
    <w:rsid w:val="238D742C"/>
    <w:rsid w:val="23B513CF"/>
    <w:rsid w:val="24033838"/>
    <w:rsid w:val="24283596"/>
    <w:rsid w:val="2492221D"/>
    <w:rsid w:val="24B212C7"/>
    <w:rsid w:val="250D6F10"/>
    <w:rsid w:val="25390375"/>
    <w:rsid w:val="25AF2D9F"/>
    <w:rsid w:val="25EF40E4"/>
    <w:rsid w:val="260F711B"/>
    <w:rsid w:val="261B2254"/>
    <w:rsid w:val="268A3DA2"/>
    <w:rsid w:val="27352F60"/>
    <w:rsid w:val="27C2106B"/>
    <w:rsid w:val="2833607F"/>
    <w:rsid w:val="28411EBE"/>
    <w:rsid w:val="28540EAB"/>
    <w:rsid w:val="2880055D"/>
    <w:rsid w:val="289A5E6A"/>
    <w:rsid w:val="28E657F3"/>
    <w:rsid w:val="29830199"/>
    <w:rsid w:val="2A5D513F"/>
    <w:rsid w:val="2AE852E0"/>
    <w:rsid w:val="2B23605E"/>
    <w:rsid w:val="2B2A29B3"/>
    <w:rsid w:val="2B4D0C4C"/>
    <w:rsid w:val="2B9541BE"/>
    <w:rsid w:val="2BF52E62"/>
    <w:rsid w:val="2C1F75D4"/>
    <w:rsid w:val="2C8973E8"/>
    <w:rsid w:val="2CD37F8E"/>
    <w:rsid w:val="2D7D1729"/>
    <w:rsid w:val="2D8C1765"/>
    <w:rsid w:val="2DB9081B"/>
    <w:rsid w:val="2E657220"/>
    <w:rsid w:val="2E976DAE"/>
    <w:rsid w:val="2ED06E1B"/>
    <w:rsid w:val="2FA35ACB"/>
    <w:rsid w:val="30584F0B"/>
    <w:rsid w:val="30854EA0"/>
    <w:rsid w:val="30A62CB9"/>
    <w:rsid w:val="326636DC"/>
    <w:rsid w:val="33341052"/>
    <w:rsid w:val="334F40FB"/>
    <w:rsid w:val="335523BF"/>
    <w:rsid w:val="34021DD4"/>
    <w:rsid w:val="34366965"/>
    <w:rsid w:val="35536BAB"/>
    <w:rsid w:val="356865F9"/>
    <w:rsid w:val="35755760"/>
    <w:rsid w:val="359D4DB3"/>
    <w:rsid w:val="366E1C99"/>
    <w:rsid w:val="36712C50"/>
    <w:rsid w:val="36C51273"/>
    <w:rsid w:val="36EA33C7"/>
    <w:rsid w:val="37CF1A14"/>
    <w:rsid w:val="37E35359"/>
    <w:rsid w:val="380105BA"/>
    <w:rsid w:val="381C0D78"/>
    <w:rsid w:val="38A31D67"/>
    <w:rsid w:val="38A34356"/>
    <w:rsid w:val="38F34D72"/>
    <w:rsid w:val="396F4F1E"/>
    <w:rsid w:val="3A0F758F"/>
    <w:rsid w:val="3AA76382"/>
    <w:rsid w:val="3AF911A7"/>
    <w:rsid w:val="3B1B6FF6"/>
    <w:rsid w:val="3B2B7665"/>
    <w:rsid w:val="3B685BA7"/>
    <w:rsid w:val="3BA11D9A"/>
    <w:rsid w:val="3C843493"/>
    <w:rsid w:val="3CB62BEC"/>
    <w:rsid w:val="3D6819B8"/>
    <w:rsid w:val="3D6F79ED"/>
    <w:rsid w:val="3DD455BB"/>
    <w:rsid w:val="3DE52CA9"/>
    <w:rsid w:val="3E037C4A"/>
    <w:rsid w:val="3E093C66"/>
    <w:rsid w:val="3E8A54D4"/>
    <w:rsid w:val="3EDD789F"/>
    <w:rsid w:val="3F000E09"/>
    <w:rsid w:val="3FFF767F"/>
    <w:rsid w:val="40077CE6"/>
    <w:rsid w:val="400C523F"/>
    <w:rsid w:val="413D6904"/>
    <w:rsid w:val="42555594"/>
    <w:rsid w:val="42624F84"/>
    <w:rsid w:val="42970CCC"/>
    <w:rsid w:val="42E27C01"/>
    <w:rsid w:val="43120CA1"/>
    <w:rsid w:val="4376290A"/>
    <w:rsid w:val="43A16B3C"/>
    <w:rsid w:val="43A84C8C"/>
    <w:rsid w:val="43BC5137"/>
    <w:rsid w:val="44301673"/>
    <w:rsid w:val="444D1753"/>
    <w:rsid w:val="44723F74"/>
    <w:rsid w:val="44A245A4"/>
    <w:rsid w:val="45075B34"/>
    <w:rsid w:val="45372C41"/>
    <w:rsid w:val="453A5AC6"/>
    <w:rsid w:val="459018D9"/>
    <w:rsid w:val="45C32DB9"/>
    <w:rsid w:val="45F63D32"/>
    <w:rsid w:val="472965B9"/>
    <w:rsid w:val="475444D9"/>
    <w:rsid w:val="47552708"/>
    <w:rsid w:val="475B33A6"/>
    <w:rsid w:val="47C65E4E"/>
    <w:rsid w:val="48751185"/>
    <w:rsid w:val="4881562A"/>
    <w:rsid w:val="488A606A"/>
    <w:rsid w:val="48C3755B"/>
    <w:rsid w:val="493F61E5"/>
    <w:rsid w:val="498A0AF2"/>
    <w:rsid w:val="49E20191"/>
    <w:rsid w:val="4A5B4CDC"/>
    <w:rsid w:val="4B712D03"/>
    <w:rsid w:val="4B7A7BAC"/>
    <w:rsid w:val="4C38401E"/>
    <w:rsid w:val="4C5754D1"/>
    <w:rsid w:val="4CC57E3D"/>
    <w:rsid w:val="4D220EB6"/>
    <w:rsid w:val="4D27420B"/>
    <w:rsid w:val="4DCC34EF"/>
    <w:rsid w:val="4E1F60E3"/>
    <w:rsid w:val="4EF676C9"/>
    <w:rsid w:val="4F0C408A"/>
    <w:rsid w:val="4FAB0384"/>
    <w:rsid w:val="501E6ED7"/>
    <w:rsid w:val="50F639B0"/>
    <w:rsid w:val="5176172B"/>
    <w:rsid w:val="51CD298A"/>
    <w:rsid w:val="52147092"/>
    <w:rsid w:val="52AE5342"/>
    <w:rsid w:val="53E57C2F"/>
    <w:rsid w:val="544630E6"/>
    <w:rsid w:val="54547AC5"/>
    <w:rsid w:val="54867C30"/>
    <w:rsid w:val="54DF47D3"/>
    <w:rsid w:val="55077FE2"/>
    <w:rsid w:val="550A4611"/>
    <w:rsid w:val="55B900D0"/>
    <w:rsid w:val="561B13C7"/>
    <w:rsid w:val="561F7505"/>
    <w:rsid w:val="57045D74"/>
    <w:rsid w:val="572D79DE"/>
    <w:rsid w:val="58527628"/>
    <w:rsid w:val="58583C29"/>
    <w:rsid w:val="59297B2F"/>
    <w:rsid w:val="59662AB1"/>
    <w:rsid w:val="596E5A74"/>
    <w:rsid w:val="59754206"/>
    <w:rsid w:val="59810494"/>
    <w:rsid w:val="59B633BC"/>
    <w:rsid w:val="59CC4F37"/>
    <w:rsid w:val="5AAE6BFF"/>
    <w:rsid w:val="5ADE47BC"/>
    <w:rsid w:val="5B110E61"/>
    <w:rsid w:val="5BB54F4D"/>
    <w:rsid w:val="5BCA1D02"/>
    <w:rsid w:val="5BEE537B"/>
    <w:rsid w:val="5D0D08A3"/>
    <w:rsid w:val="5D3317F0"/>
    <w:rsid w:val="5D643A99"/>
    <w:rsid w:val="5D67657C"/>
    <w:rsid w:val="5D7C56DF"/>
    <w:rsid w:val="5DC1109B"/>
    <w:rsid w:val="5DD60DF1"/>
    <w:rsid w:val="5DD96F66"/>
    <w:rsid w:val="5E461482"/>
    <w:rsid w:val="5E9C0C23"/>
    <w:rsid w:val="5F232776"/>
    <w:rsid w:val="60A1246B"/>
    <w:rsid w:val="60A63400"/>
    <w:rsid w:val="60C76EAC"/>
    <w:rsid w:val="61007500"/>
    <w:rsid w:val="613D4CE3"/>
    <w:rsid w:val="629F47F2"/>
    <w:rsid w:val="62C879FC"/>
    <w:rsid w:val="62CC3929"/>
    <w:rsid w:val="63017644"/>
    <w:rsid w:val="636606F0"/>
    <w:rsid w:val="637532B6"/>
    <w:rsid w:val="63A3296B"/>
    <w:rsid w:val="64872B0E"/>
    <w:rsid w:val="64967BBD"/>
    <w:rsid w:val="651C47BF"/>
    <w:rsid w:val="655947E5"/>
    <w:rsid w:val="65F311F9"/>
    <w:rsid w:val="65F9047D"/>
    <w:rsid w:val="66137709"/>
    <w:rsid w:val="66680793"/>
    <w:rsid w:val="676C7B66"/>
    <w:rsid w:val="67826ED6"/>
    <w:rsid w:val="67A56E58"/>
    <w:rsid w:val="67F15470"/>
    <w:rsid w:val="68A23B03"/>
    <w:rsid w:val="68DE1929"/>
    <w:rsid w:val="68F10C62"/>
    <w:rsid w:val="68F50E79"/>
    <w:rsid w:val="69A63902"/>
    <w:rsid w:val="69CA6F37"/>
    <w:rsid w:val="69F7753F"/>
    <w:rsid w:val="6A384FF4"/>
    <w:rsid w:val="6A430169"/>
    <w:rsid w:val="6B067C98"/>
    <w:rsid w:val="6B3D1AC1"/>
    <w:rsid w:val="6BD62635"/>
    <w:rsid w:val="6C29545A"/>
    <w:rsid w:val="6C41754C"/>
    <w:rsid w:val="6C847C6A"/>
    <w:rsid w:val="6D340F65"/>
    <w:rsid w:val="6D496DE5"/>
    <w:rsid w:val="6D4D11A4"/>
    <w:rsid w:val="6DD51BC8"/>
    <w:rsid w:val="6E240720"/>
    <w:rsid w:val="6E2C143C"/>
    <w:rsid w:val="6E45162B"/>
    <w:rsid w:val="6EE16B9C"/>
    <w:rsid w:val="6F1326C1"/>
    <w:rsid w:val="6F493ACC"/>
    <w:rsid w:val="6FB62D4F"/>
    <w:rsid w:val="6FDB5BB3"/>
    <w:rsid w:val="706102C8"/>
    <w:rsid w:val="70952FDD"/>
    <w:rsid w:val="70DB2328"/>
    <w:rsid w:val="71235C9B"/>
    <w:rsid w:val="716B07A3"/>
    <w:rsid w:val="719153B4"/>
    <w:rsid w:val="722872EA"/>
    <w:rsid w:val="72570598"/>
    <w:rsid w:val="72DC6A79"/>
    <w:rsid w:val="72DF6AEF"/>
    <w:rsid w:val="745D28BC"/>
    <w:rsid w:val="74892F8F"/>
    <w:rsid w:val="74C253BE"/>
    <w:rsid w:val="75A61E4D"/>
    <w:rsid w:val="75BE45A2"/>
    <w:rsid w:val="75C15B87"/>
    <w:rsid w:val="75FF1DA9"/>
    <w:rsid w:val="76222141"/>
    <w:rsid w:val="7622434B"/>
    <w:rsid w:val="767B4233"/>
    <w:rsid w:val="76ED1FF3"/>
    <w:rsid w:val="77E62D4A"/>
    <w:rsid w:val="782868FE"/>
    <w:rsid w:val="78C431F9"/>
    <w:rsid w:val="78F35E38"/>
    <w:rsid w:val="7A235B7A"/>
    <w:rsid w:val="7A531C06"/>
    <w:rsid w:val="7A626187"/>
    <w:rsid w:val="7A97026F"/>
    <w:rsid w:val="7AAD2E23"/>
    <w:rsid w:val="7AFC07C8"/>
    <w:rsid w:val="7B064F8A"/>
    <w:rsid w:val="7B705F89"/>
    <w:rsid w:val="7C536D3F"/>
    <w:rsid w:val="7CFB44B1"/>
    <w:rsid w:val="7D450AA8"/>
    <w:rsid w:val="7DB00AEC"/>
    <w:rsid w:val="7DE14DA1"/>
    <w:rsid w:val="7E524CC2"/>
    <w:rsid w:val="7EA448D3"/>
    <w:rsid w:val="7ED9503F"/>
    <w:rsid w:val="7EF12996"/>
    <w:rsid w:val="7F3628C1"/>
    <w:rsid w:val="7F4948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next w:val="4"/>
    <w:qFormat/>
    <w:uiPriority w:val="0"/>
    <w:pPr>
      <w:spacing w:before="240" w:line="360" w:lineRule="auto"/>
      <w:ind w:firstLine="552" w:firstLineChars="263"/>
    </w:pPr>
    <w:rPr>
      <w:rFonts w:ascii="宋体" w:hAnsi="宋体"/>
      <w:szCs w:val="20"/>
    </w:rPr>
  </w:style>
  <w:style w:type="paragraph" w:styleId="4">
    <w:name w:val="Normal (Web)"/>
    <w:basedOn w:val="1"/>
    <w:next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Balloon Text"/>
    <w:basedOn w:val="1"/>
    <w:qFormat/>
    <w:uiPriority w:val="0"/>
    <w:rPr>
      <w:sz w:val="18"/>
      <w:szCs w:val="18"/>
    </w:rPr>
  </w:style>
  <w:style w:type="paragraph" w:styleId="6">
    <w:name w:val="footer"/>
    <w:basedOn w:val="1"/>
    <w:link w:val="24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7">
    <w:name w:val="header"/>
    <w:basedOn w:val="1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8">
    <w:name w:val="Body Text First Indent 2"/>
    <w:basedOn w:val="3"/>
    <w:qFormat/>
    <w:uiPriority w:val="99"/>
    <w:pPr>
      <w:ind w:firstLine="420" w:firstLineChars="200"/>
    </w:pPr>
  </w:style>
  <w:style w:type="character" w:styleId="11">
    <w:name w:val="Strong"/>
    <w:basedOn w:val="10"/>
    <w:qFormat/>
    <w:uiPriority w:val="0"/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qFormat/>
    <w:uiPriority w:val="0"/>
    <w:rPr>
      <w:i/>
      <w:iCs/>
    </w:rPr>
  </w:style>
  <w:style w:type="character" w:styleId="15">
    <w:name w:val="HTML Definition"/>
    <w:basedOn w:val="10"/>
    <w:qFormat/>
    <w:uiPriority w:val="0"/>
  </w:style>
  <w:style w:type="character" w:styleId="16">
    <w:name w:val="HTML Typewriter"/>
    <w:basedOn w:val="10"/>
    <w:qFormat/>
    <w:uiPriority w:val="0"/>
    <w:rPr>
      <w:rFonts w:hint="default" w:ascii="monospace" w:hAnsi="monospace" w:eastAsia="monospace" w:cs="monospace"/>
      <w:sz w:val="20"/>
    </w:rPr>
  </w:style>
  <w:style w:type="character" w:styleId="17">
    <w:name w:val="HTML Acronym"/>
    <w:basedOn w:val="10"/>
    <w:qFormat/>
    <w:uiPriority w:val="0"/>
  </w:style>
  <w:style w:type="character" w:styleId="18">
    <w:name w:val="HTML Variable"/>
    <w:basedOn w:val="10"/>
    <w:qFormat/>
    <w:uiPriority w:val="0"/>
  </w:style>
  <w:style w:type="character" w:styleId="19">
    <w:name w:val="Hyperlink"/>
    <w:basedOn w:val="10"/>
    <w:qFormat/>
    <w:uiPriority w:val="0"/>
    <w:rPr>
      <w:color w:val="333333"/>
      <w:u w:val="none"/>
    </w:rPr>
  </w:style>
  <w:style w:type="character" w:styleId="20">
    <w:name w:val="HTML Code"/>
    <w:basedOn w:val="10"/>
    <w:qFormat/>
    <w:uiPriority w:val="0"/>
    <w:rPr>
      <w:rFonts w:hint="default" w:ascii="monospace" w:hAnsi="monospace" w:eastAsia="monospace" w:cs="monospace"/>
      <w:sz w:val="20"/>
    </w:rPr>
  </w:style>
  <w:style w:type="character" w:styleId="21">
    <w:name w:val="HTML Cite"/>
    <w:basedOn w:val="10"/>
    <w:qFormat/>
    <w:uiPriority w:val="0"/>
  </w:style>
  <w:style w:type="character" w:styleId="22">
    <w:name w:val="HTML Keyboard"/>
    <w:basedOn w:val="10"/>
    <w:qFormat/>
    <w:uiPriority w:val="0"/>
    <w:rPr>
      <w:rFonts w:hint="default" w:ascii="monospace" w:hAnsi="monospace" w:eastAsia="monospace" w:cs="monospace"/>
      <w:sz w:val="20"/>
    </w:rPr>
  </w:style>
  <w:style w:type="character" w:styleId="23">
    <w:name w:val="HTML Sample"/>
    <w:basedOn w:val="10"/>
    <w:qFormat/>
    <w:uiPriority w:val="0"/>
    <w:rPr>
      <w:rFonts w:ascii="monospace" w:hAnsi="monospace" w:eastAsia="monospace" w:cs="monospace"/>
    </w:rPr>
  </w:style>
  <w:style w:type="character" w:customStyle="1" w:styleId="24">
    <w:name w:val="页脚 字符"/>
    <w:link w:val="6"/>
    <w:qFormat/>
    <w:uiPriority w:val="0"/>
    <w:rPr>
      <w:kern w:val="2"/>
      <w:sz w:val="18"/>
      <w:szCs w:val="18"/>
    </w:rPr>
  </w:style>
  <w:style w:type="character" w:customStyle="1" w:styleId="25">
    <w:name w:val="页眉 字符"/>
    <w:link w:val="7"/>
    <w:qFormat/>
    <w:uiPriority w:val="0"/>
    <w:rPr>
      <w:kern w:val="2"/>
      <w:sz w:val="18"/>
      <w:szCs w:val="18"/>
    </w:rPr>
  </w:style>
  <w:style w:type="paragraph" w:customStyle="1" w:styleId="26">
    <w:name w:val="默认段落字体 Para Char"/>
    <w:basedOn w:val="1"/>
    <w:qFormat/>
    <w:uiPriority w:val="99"/>
    <w:pPr>
      <w:adjustRightInd w:val="0"/>
      <w:spacing w:line="360" w:lineRule="auto"/>
    </w:pPr>
  </w:style>
  <w:style w:type="character" w:customStyle="1" w:styleId="27">
    <w:name w:val="ui-icon32"/>
    <w:basedOn w:val="10"/>
    <w:qFormat/>
    <w:uiPriority w:val="0"/>
  </w:style>
  <w:style w:type="character" w:customStyle="1" w:styleId="28">
    <w:name w:val="ui-icon33"/>
    <w:basedOn w:val="10"/>
    <w:qFormat/>
    <w:uiPriority w:val="0"/>
  </w:style>
  <w:style w:type="character" w:customStyle="1" w:styleId="29">
    <w:name w:val="ui-icon34"/>
    <w:basedOn w:val="10"/>
    <w:qFormat/>
    <w:uiPriority w:val="0"/>
  </w:style>
  <w:style w:type="character" w:customStyle="1" w:styleId="30">
    <w:name w:val="ui-selectmenu-text"/>
    <w:basedOn w:val="10"/>
    <w:qFormat/>
    <w:uiPriority w:val="0"/>
  </w:style>
  <w:style w:type="character" w:customStyle="1" w:styleId="31">
    <w:name w:val="gld-web-grid1"/>
    <w:basedOn w:val="10"/>
    <w:qFormat/>
    <w:uiPriority w:val="0"/>
  </w:style>
  <w:style w:type="character" w:customStyle="1" w:styleId="32">
    <w:name w:val="ui-icon40"/>
    <w:basedOn w:val="10"/>
    <w:qFormat/>
    <w:uiPriority w:val="0"/>
  </w:style>
  <w:style w:type="character" w:customStyle="1" w:styleId="33">
    <w:name w:val="ui-icon41"/>
    <w:basedOn w:val="10"/>
    <w:qFormat/>
    <w:uiPriority w:val="0"/>
  </w:style>
  <w:style w:type="character" w:customStyle="1" w:styleId="34">
    <w:name w:val="ui-icon42"/>
    <w:basedOn w:val="10"/>
    <w:qFormat/>
    <w:uiPriority w:val="0"/>
  </w:style>
  <w:style w:type="character" w:customStyle="1" w:styleId="35">
    <w:name w:val="ui-icon39"/>
    <w:basedOn w:val="10"/>
    <w:qFormat/>
    <w:uiPriority w:val="0"/>
  </w:style>
  <w:style w:type="character" w:customStyle="1" w:styleId="36">
    <w:name w:val="ui-icon35"/>
    <w:basedOn w:val="10"/>
    <w:qFormat/>
    <w:uiPriority w:val="0"/>
  </w:style>
  <w:style w:type="character" w:customStyle="1" w:styleId="37">
    <w:name w:val="ui-icon36"/>
    <w:basedOn w:val="10"/>
    <w:qFormat/>
    <w:uiPriority w:val="0"/>
  </w:style>
  <w:style w:type="character" w:customStyle="1" w:styleId="38">
    <w:name w:val="ui-icon37"/>
    <w:basedOn w:val="10"/>
    <w:qFormat/>
    <w:uiPriority w:val="0"/>
  </w:style>
  <w:style w:type="character" w:customStyle="1" w:styleId="39">
    <w:name w:val="dxrpheader_office2010blue"/>
    <w:basedOn w:val="10"/>
    <w:qFormat/>
    <w:uiPriority w:val="0"/>
    <w:rPr>
      <w:rFonts w:ascii="Verdana" w:hAnsi="Verdana" w:cs="Verdana"/>
      <w:color w:val="1E395B"/>
      <w:sz w:val="16"/>
      <w:szCs w:val="16"/>
      <w:shd w:val="clear" w:color="auto" w:fill="EAF1FA"/>
    </w:rPr>
  </w:style>
  <w:style w:type="character" w:customStyle="1" w:styleId="40">
    <w:name w:val="hover"/>
    <w:basedOn w:val="10"/>
    <w:qFormat/>
    <w:uiPriority w:val="0"/>
    <w:rPr>
      <w:color w:val="2590EB"/>
    </w:rPr>
  </w:style>
  <w:style w:type="character" w:customStyle="1" w:styleId="41">
    <w:name w:val="hover1"/>
    <w:basedOn w:val="10"/>
    <w:qFormat/>
    <w:uiPriority w:val="0"/>
  </w:style>
  <w:style w:type="character" w:customStyle="1" w:styleId="42">
    <w:name w:val="hover2"/>
    <w:basedOn w:val="10"/>
    <w:qFormat/>
    <w:uiPriority w:val="0"/>
    <w:rPr>
      <w:color w:val="2590EB"/>
    </w:rPr>
  </w:style>
  <w:style w:type="character" w:customStyle="1" w:styleId="43">
    <w:name w:val="hover3"/>
    <w:basedOn w:val="10"/>
    <w:qFormat/>
    <w:uiPriority w:val="0"/>
    <w:rPr>
      <w:color w:val="2590EB"/>
      <w:shd w:val="clear" w:color="auto" w:fill="E9F4FD"/>
    </w:rPr>
  </w:style>
  <w:style w:type="character" w:customStyle="1" w:styleId="44">
    <w:name w:val="hover4"/>
    <w:basedOn w:val="10"/>
    <w:qFormat/>
    <w:uiPriority w:val="0"/>
    <w:rPr>
      <w:color w:val="2590EB"/>
      <w:shd w:val="clear" w:color="auto" w:fill="E9F4FD"/>
    </w:rPr>
  </w:style>
  <w:style w:type="paragraph" w:customStyle="1" w:styleId="45">
    <w:name w:val="正文文字 1"/>
    <w:basedOn w:val="1"/>
    <w:next w:val="1"/>
    <w:qFormat/>
    <w:uiPriority w:val="99"/>
    <w:pPr>
      <w:ind w:firstLine="0" w:firstLineChars="0"/>
      <w:jc w:val="left"/>
    </w:pPr>
    <w:rPr>
      <w:rFonts w:eastAsia="宋体"/>
      <w:b/>
      <w:sz w:val="24"/>
    </w:rPr>
  </w:style>
  <w:style w:type="character" w:customStyle="1" w:styleId="46">
    <w:name w:val="toolbarlabel2"/>
    <w:basedOn w:val="10"/>
    <w:qFormat/>
    <w:uiPriority w:val="0"/>
  </w:style>
  <w:style w:type="paragraph" w:customStyle="1" w:styleId="47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1474</Words>
  <Characters>1490</Characters>
  <Lines>15</Lines>
  <Paragraphs>4</Paragraphs>
  <TotalTime>0</TotalTime>
  <ScaleCrop>false</ScaleCrop>
  <LinksUpToDate>false</LinksUpToDate>
  <CharactersWithSpaces>1543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2017-05-18T03:44:00Z</dcterms:created>
  <dc:creator>hl</dc:creator>
  <cp:lastModifiedBy></cp:lastModifiedBy>
  <cp:lastPrinted>2026-06-09T07:34:00Z</cp:lastPrinted>
  <dcterms:modified xsi:type="dcterms:W3CDTF">2026-10-27T02:02:46Z</dcterms:modified>
  <dc:title>评 标 记 录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8AACF5861F1747939C2CD5962BEE7602</vt:lpwstr>
  </property>
  <property fmtid="{D5CDD505-2E9C-101B-9397-08002B2CF9AE}" pid="4" name="KSOTemplateDocerSaveRecord">
    <vt:lpwstr>eyJoZGlkIjoiMmNiOTVmMjZiOWY5NDNmYzJkMTE0YjQ1Njg2NzNlOGEiLCJ1c2VySWQiOiI0MjY2Mzk4NzkifQ==</vt:lpwstr>
  </property>
</Properties>
</file>