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B1657">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b/>
          <w:color w:val="auto"/>
          <w:sz w:val="40"/>
          <w:szCs w:val="40"/>
          <w:highlight w:val="none"/>
          <w:lang w:val="en-US" w:eastAsia="zh-CN"/>
        </w:rPr>
      </w:pPr>
      <w:r>
        <w:rPr>
          <w:rFonts w:hint="eastAsia" w:ascii="仿宋" w:hAnsi="仿宋" w:eastAsia="仿宋" w:cs="仿宋"/>
          <w:b/>
          <w:color w:val="auto"/>
          <w:sz w:val="40"/>
          <w:szCs w:val="40"/>
          <w:highlight w:val="none"/>
          <w:lang w:val="en-US" w:eastAsia="zh-CN"/>
        </w:rPr>
        <w:t>开、</w:t>
      </w:r>
      <w:r>
        <w:rPr>
          <w:rFonts w:hint="eastAsia" w:ascii="仿宋" w:hAnsi="仿宋" w:eastAsia="仿宋" w:cs="仿宋"/>
          <w:b/>
          <w:color w:val="auto"/>
          <w:sz w:val="40"/>
          <w:szCs w:val="40"/>
          <w:highlight w:val="none"/>
        </w:rPr>
        <w:t>评标</w:t>
      </w:r>
      <w:r>
        <w:rPr>
          <w:rFonts w:hint="eastAsia" w:ascii="仿宋" w:hAnsi="仿宋" w:eastAsia="仿宋" w:cs="仿宋"/>
          <w:b/>
          <w:color w:val="auto"/>
          <w:sz w:val="40"/>
          <w:szCs w:val="40"/>
          <w:highlight w:val="none"/>
          <w:lang w:val="en-US" w:eastAsia="zh-CN"/>
        </w:rPr>
        <w:t>会现场</w:t>
      </w:r>
      <w:r>
        <w:rPr>
          <w:rFonts w:hint="eastAsia" w:ascii="仿宋" w:hAnsi="仿宋" w:eastAsia="仿宋" w:cs="仿宋"/>
          <w:b/>
          <w:color w:val="auto"/>
          <w:sz w:val="40"/>
          <w:szCs w:val="40"/>
          <w:highlight w:val="none"/>
        </w:rPr>
        <w:t>记录</w:t>
      </w:r>
      <w:r>
        <w:rPr>
          <w:rFonts w:hint="eastAsia" w:ascii="仿宋" w:hAnsi="仿宋" w:eastAsia="仿宋" w:cs="仿宋"/>
          <w:b/>
          <w:color w:val="auto"/>
          <w:sz w:val="40"/>
          <w:szCs w:val="40"/>
          <w:highlight w:val="none"/>
          <w:lang w:val="en-US" w:eastAsia="zh-CN"/>
        </w:rPr>
        <w:t>①</w:t>
      </w:r>
    </w:p>
    <w:p w14:paraId="7D9C777F">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lang w:val="en-US" w:eastAsia="zh-CN"/>
        </w:rPr>
        <w:t>克拉玛依市白碱滩区城南片区综合管网建设项目二期（监理）</w:t>
      </w:r>
    </w:p>
    <w:tbl>
      <w:tblPr>
        <w:tblStyle w:val="3"/>
        <w:tblW w:w="10072"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6"/>
        <w:gridCol w:w="2829"/>
        <w:gridCol w:w="1588"/>
        <w:gridCol w:w="3319"/>
      </w:tblGrid>
      <w:tr w14:paraId="0E8B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36" w:type="dxa"/>
            <w:noWrap w:val="0"/>
            <w:vAlign w:val="center"/>
          </w:tcPr>
          <w:p w14:paraId="6606CB80">
            <w:pPr>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招标代理机构</w:t>
            </w:r>
          </w:p>
        </w:tc>
        <w:tc>
          <w:tcPr>
            <w:tcW w:w="7736" w:type="dxa"/>
            <w:gridSpan w:val="3"/>
            <w:noWrap w:val="0"/>
            <w:vAlign w:val="center"/>
          </w:tcPr>
          <w:p w14:paraId="4FD86D2A">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新疆新建联项目管理咨询有限公司</w:t>
            </w:r>
          </w:p>
        </w:tc>
      </w:tr>
      <w:tr w14:paraId="68C5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2336" w:type="dxa"/>
            <w:noWrap w:val="0"/>
            <w:vAlign w:val="center"/>
          </w:tcPr>
          <w:p w14:paraId="7BF4B235">
            <w:pPr>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开标时间</w:t>
            </w:r>
          </w:p>
        </w:tc>
        <w:tc>
          <w:tcPr>
            <w:tcW w:w="2829" w:type="dxa"/>
            <w:noWrap w:val="0"/>
            <w:vAlign w:val="center"/>
          </w:tcPr>
          <w:p w14:paraId="5870F786">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2026年7月24日 09:00</w:t>
            </w:r>
          </w:p>
        </w:tc>
        <w:tc>
          <w:tcPr>
            <w:tcW w:w="1588" w:type="dxa"/>
            <w:noWrap w:val="0"/>
            <w:vAlign w:val="center"/>
          </w:tcPr>
          <w:p w14:paraId="22A7DD30">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开标地点</w:t>
            </w:r>
          </w:p>
        </w:tc>
        <w:tc>
          <w:tcPr>
            <w:tcW w:w="3319" w:type="dxa"/>
            <w:noWrap w:val="0"/>
            <w:vAlign w:val="center"/>
          </w:tcPr>
          <w:p w14:paraId="53B3F939">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lang w:val="en-US" w:eastAsia="zh-CN"/>
              </w:rPr>
              <w:t>克拉玛依市政府2号楼政务服务和公共资源交易中心</w:t>
            </w:r>
          </w:p>
        </w:tc>
      </w:tr>
      <w:tr w14:paraId="7A1C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0072" w:type="dxa"/>
            <w:gridSpan w:val="4"/>
            <w:noWrap w:val="0"/>
            <w:vAlign w:val="center"/>
          </w:tcPr>
          <w:p w14:paraId="0903EB0C">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评标内容：</w:t>
            </w:r>
          </w:p>
        </w:tc>
      </w:tr>
      <w:tr w14:paraId="6B1B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10072" w:type="dxa"/>
            <w:gridSpan w:val="4"/>
            <w:noWrap w:val="0"/>
            <w:vAlign w:val="center"/>
          </w:tcPr>
          <w:p w14:paraId="5E822DE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2" w:firstLineChars="200"/>
              <w:textAlignment w:val="auto"/>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一、电子开标（09:00）</w:t>
            </w:r>
          </w:p>
          <w:p w14:paraId="43A8DFA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1、在招标文件规定的获取文件时间内，共有11家投标单位获取招标文件；</w:t>
            </w:r>
          </w:p>
          <w:p w14:paraId="3DF6EF5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克拉玛依市政务服务和公共资源交易中心开标一室，在招标文件规定的递交投标文件截止时间止，共有：新疆天麒工程项目管理咨询有限责任公司、新疆卓越工程项目管理有限公司、首盛国际工程咨询集团有限公司、乌鲁木齐城建监理咨询有限责任公司、克拉玛依市金科工程监理有限责任公司、新疆泽强工程项目管理咨询有限公司共6家投标单位按规定时间递交加密电子投标文件；</w:t>
            </w:r>
          </w:p>
          <w:p w14:paraId="50CBCA3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3、招标代理机构工作人员在“克拉玛依市公共资源交易网“不见面”交易大厅触发“开始解密”功能后由各投标单位对自家投标文件进行解密，最终6家投标人的投标文件均解密成功；</w:t>
            </w:r>
          </w:p>
          <w:p w14:paraId="6F18CA8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4、进入唱标阶段，由工作人员进行唱标，唱标完毕后，各投标单位对唱标内容均无异议；</w:t>
            </w:r>
          </w:p>
          <w:p w14:paraId="64F40DE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5、开标结束。</w:t>
            </w:r>
          </w:p>
          <w:p w14:paraId="2BF29A9F">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二</w:t>
            </w:r>
            <w:r>
              <w:rPr>
                <w:rFonts w:hint="eastAsia" w:ascii="仿宋" w:hAnsi="仿宋" w:eastAsia="仿宋" w:cs="仿宋"/>
                <w:b/>
                <w:color w:val="auto"/>
                <w:sz w:val="24"/>
                <w:highlight w:val="none"/>
              </w:rPr>
              <w:t>、标前会</w:t>
            </w:r>
          </w:p>
          <w:p w14:paraId="7B2C229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1、招标代理机构工作人员同步评委基本信息；</w:t>
            </w:r>
          </w:p>
          <w:p w14:paraId="272D37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2、各位评委签到；</w:t>
            </w:r>
          </w:p>
          <w:p w14:paraId="56A5650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招标代理机构工作人员介绍本次评标委员会的组成及现场监督：本次评标委员会由7人组成，其中招标人代表2人，其余经济、技术类专家5人在</w:t>
            </w:r>
            <w:r>
              <w:rPr>
                <w:rFonts w:hint="eastAsia" w:ascii="仿宋" w:hAnsi="仿宋" w:eastAsia="仿宋" w:cs="仿宋"/>
                <w:sz w:val="24"/>
                <w:szCs w:val="24"/>
                <w:highlight w:val="none"/>
                <w:lang w:val="en-US" w:eastAsia="zh-CN"/>
              </w:rPr>
              <w:t>四川省广安市</w:t>
            </w:r>
            <w:r>
              <w:rPr>
                <w:rFonts w:hint="eastAsia" w:ascii="仿宋" w:hAnsi="仿宋" w:eastAsia="仿宋" w:cs="仿宋"/>
                <w:color w:val="auto"/>
                <w:sz w:val="24"/>
                <w:highlight w:val="none"/>
                <w:lang w:val="en-US" w:eastAsia="zh-CN"/>
              </w:rPr>
              <w:t>建设工程交易中心专家库中随机抽取。</w:t>
            </w:r>
            <w:r>
              <w:rPr>
                <w:rFonts w:hint="eastAsia" w:ascii="仿宋" w:hAnsi="仿宋" w:eastAsia="仿宋" w:cs="仿宋"/>
                <w:sz w:val="24"/>
                <w:szCs w:val="24"/>
                <w:highlight w:val="none"/>
              </w:rPr>
              <w:t>本次招标现场监督是白碱滩区住房和建设局建筑市场监督管理办公室曾戈</w:t>
            </w:r>
          </w:p>
          <w:p w14:paraId="1003D59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4、评标委员会成员在评标系统中自行推选评标委员会组长。</w:t>
            </w:r>
          </w:p>
          <w:p w14:paraId="04AB361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5、招标代理机构工作人员向各位评委介绍电子评标系统基本流程及会场秩序。</w:t>
            </w:r>
          </w:p>
          <w:p w14:paraId="23F1E9D2">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lang w:val="en-US" w:eastAsia="zh-CN"/>
              </w:rPr>
              <w:t>三、电子评标</w:t>
            </w:r>
          </w:p>
          <w:p w14:paraId="3F45EE0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1、招标代理机构工作人员宣布评标开始，本次评标共分为两个阶段，（1）初步评审（2）详细评审。</w:t>
            </w:r>
          </w:p>
          <w:p w14:paraId="49B77E9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评标委员会根据招标文件的“初步评审标准”，首先对各投标人的“投标文件”进行初步评审，新疆卓越工程项目管理有限公司不满足资格审查第21项“是否满足招标文件其他要求”，不符合“项目总监理工程师业绩：近五年（2021年0</w:t>
            </w:r>
            <w:r>
              <w:rPr>
                <w:rFonts w:hint="default" w:ascii="仿宋" w:hAnsi="仿宋" w:eastAsia="仿宋" w:cs="仿宋"/>
                <w:color w:val="auto"/>
                <w:sz w:val="24"/>
                <w:highlight w:val="none"/>
                <w:lang w:val="en" w:eastAsia="zh-CN"/>
              </w:rPr>
              <w:t>6</w:t>
            </w:r>
            <w:r>
              <w:rPr>
                <w:rFonts w:hint="eastAsia" w:ascii="仿宋" w:hAnsi="仿宋" w:eastAsia="仿宋" w:cs="仿宋"/>
                <w:color w:val="auto"/>
                <w:sz w:val="24"/>
                <w:highlight w:val="none"/>
                <w:lang w:val="en-US" w:eastAsia="zh-CN"/>
              </w:rPr>
              <w:t>月01日--至投标截止日）完成过类似市政公用工程监理业绩不得少于1项（</w:t>
            </w:r>
            <w:bookmarkStart w:id="0" w:name="_Hlk225521847"/>
            <w:r>
              <w:rPr>
                <w:rFonts w:hint="eastAsia" w:ascii="仿宋" w:hAnsi="仿宋" w:eastAsia="仿宋" w:cs="仿宋"/>
                <w:color w:val="auto"/>
                <w:sz w:val="24"/>
                <w:highlight w:val="none"/>
                <w:lang w:val="en-US" w:eastAsia="zh-CN"/>
              </w:rPr>
              <w:t>类似业绩指项目投资额不低于8</w:t>
            </w:r>
            <w:r>
              <w:rPr>
                <w:rFonts w:hint="eastAsia" w:ascii="仿宋" w:hAnsi="仿宋" w:eastAsia="仿宋" w:cs="仿宋"/>
                <w:color w:val="auto"/>
                <w:sz w:val="24"/>
                <w:highlight w:val="none"/>
                <w:lang w:val="en" w:eastAsia="zh-CN"/>
              </w:rPr>
              <w:t>000万</w:t>
            </w:r>
            <w:r>
              <w:rPr>
                <w:rFonts w:hint="eastAsia" w:ascii="仿宋" w:hAnsi="仿宋" w:eastAsia="仿宋" w:cs="仿宋"/>
                <w:color w:val="auto"/>
                <w:sz w:val="24"/>
                <w:highlight w:val="none"/>
                <w:lang w:val="en-US" w:eastAsia="zh-CN"/>
              </w:rPr>
              <w:t>（含）市政监理业绩，业绩证明材料须提供包括但不限于中标通知书或发包通知书、合同及工程接收证书或工程竣工验收证书或工程竣工验收表，日期以工程接收证书或工程竣工验收证书或工程竣工验收表签署日期为准。业绩证明材料须反映项目总监及项目投资额</w:t>
            </w:r>
            <w:bookmarkEnd w:id="0"/>
            <w:r>
              <w:rPr>
                <w:rFonts w:hint="eastAsia" w:ascii="仿宋" w:hAnsi="仿宋" w:eastAsia="仿宋" w:cs="仿宋"/>
                <w:color w:val="auto"/>
                <w:sz w:val="24"/>
                <w:highlight w:val="none"/>
                <w:lang w:val="en-US" w:eastAsia="zh-CN"/>
              </w:rPr>
              <w:t>）”，经评标委员会评审，资</w:t>
            </w:r>
          </w:p>
        </w:tc>
      </w:tr>
      <w:tr w14:paraId="453D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10072" w:type="dxa"/>
            <w:gridSpan w:val="4"/>
            <w:noWrap w:val="0"/>
            <w:vAlign w:val="center"/>
          </w:tcPr>
          <w:p w14:paraId="7644A4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评委签字：</w:t>
            </w:r>
          </w:p>
        </w:tc>
      </w:tr>
    </w:tbl>
    <w:p w14:paraId="353DC7AB">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b/>
          <w:color w:val="auto"/>
          <w:sz w:val="44"/>
          <w:szCs w:val="44"/>
          <w:highlight w:val="none"/>
          <w:lang w:val="en-US" w:eastAsia="zh-CN"/>
        </w:rPr>
      </w:pPr>
      <w:r>
        <w:rPr>
          <w:rFonts w:hint="eastAsia" w:ascii="仿宋" w:hAnsi="仿宋" w:eastAsia="仿宋" w:cs="仿宋"/>
          <w:b/>
          <w:color w:val="auto"/>
          <w:sz w:val="44"/>
          <w:szCs w:val="44"/>
          <w:highlight w:val="none"/>
          <w:lang w:val="en-US" w:eastAsia="zh-CN"/>
        </w:rPr>
        <w:t>开、</w:t>
      </w:r>
      <w:r>
        <w:rPr>
          <w:rFonts w:hint="eastAsia" w:ascii="仿宋" w:hAnsi="仿宋" w:eastAsia="仿宋" w:cs="仿宋"/>
          <w:b/>
          <w:color w:val="auto"/>
          <w:sz w:val="44"/>
          <w:szCs w:val="44"/>
          <w:highlight w:val="none"/>
        </w:rPr>
        <w:t>评标</w:t>
      </w:r>
      <w:r>
        <w:rPr>
          <w:rFonts w:hint="eastAsia" w:ascii="仿宋" w:hAnsi="仿宋" w:eastAsia="仿宋" w:cs="仿宋"/>
          <w:b/>
          <w:color w:val="auto"/>
          <w:sz w:val="44"/>
          <w:szCs w:val="44"/>
          <w:highlight w:val="none"/>
          <w:lang w:val="en-US" w:eastAsia="zh-CN"/>
        </w:rPr>
        <w:t>会现场</w:t>
      </w:r>
      <w:r>
        <w:rPr>
          <w:rFonts w:hint="eastAsia" w:ascii="仿宋" w:hAnsi="仿宋" w:eastAsia="仿宋" w:cs="仿宋"/>
          <w:b/>
          <w:color w:val="auto"/>
          <w:sz w:val="44"/>
          <w:szCs w:val="44"/>
          <w:highlight w:val="none"/>
        </w:rPr>
        <w:t>记录</w:t>
      </w:r>
      <w:r>
        <w:rPr>
          <w:rFonts w:hint="eastAsia" w:ascii="仿宋" w:hAnsi="仿宋" w:eastAsia="仿宋" w:cs="仿宋"/>
          <w:b/>
          <w:color w:val="auto"/>
          <w:sz w:val="44"/>
          <w:szCs w:val="44"/>
          <w:highlight w:val="none"/>
          <w:lang w:val="en-US" w:eastAsia="zh-CN"/>
        </w:rPr>
        <w:t>②</w:t>
      </w:r>
    </w:p>
    <w:p w14:paraId="24A1C514">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lang w:val="en-US" w:eastAsia="zh-CN"/>
        </w:rPr>
        <w:t>克拉玛依市白碱滩区城南片区综合管网建设项目二期（监理）</w:t>
      </w:r>
    </w:p>
    <w:tbl>
      <w:tblPr>
        <w:tblStyle w:val="3"/>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6"/>
        <w:gridCol w:w="2766"/>
        <w:gridCol w:w="1552"/>
        <w:gridCol w:w="3246"/>
      </w:tblGrid>
      <w:tr w14:paraId="346C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2336" w:type="dxa"/>
            <w:noWrap w:val="0"/>
            <w:vAlign w:val="center"/>
          </w:tcPr>
          <w:p w14:paraId="3076C1F4">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招标代理机构</w:t>
            </w:r>
          </w:p>
        </w:tc>
        <w:tc>
          <w:tcPr>
            <w:tcW w:w="7564" w:type="dxa"/>
            <w:gridSpan w:val="3"/>
            <w:noWrap w:val="0"/>
            <w:vAlign w:val="center"/>
          </w:tcPr>
          <w:p w14:paraId="7DF7E349">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新疆新建联项目管理咨询有限公司</w:t>
            </w:r>
          </w:p>
        </w:tc>
      </w:tr>
      <w:tr w14:paraId="6912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2336" w:type="dxa"/>
            <w:noWrap w:val="0"/>
            <w:vAlign w:val="center"/>
          </w:tcPr>
          <w:p w14:paraId="6CF295FF">
            <w:pPr>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开标时间</w:t>
            </w:r>
          </w:p>
        </w:tc>
        <w:tc>
          <w:tcPr>
            <w:tcW w:w="2766" w:type="dxa"/>
            <w:noWrap w:val="0"/>
            <w:vAlign w:val="center"/>
          </w:tcPr>
          <w:p w14:paraId="290D9E71">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2026年7月24日 09:00</w:t>
            </w:r>
          </w:p>
        </w:tc>
        <w:tc>
          <w:tcPr>
            <w:tcW w:w="1552" w:type="dxa"/>
            <w:noWrap w:val="0"/>
            <w:vAlign w:val="center"/>
          </w:tcPr>
          <w:p w14:paraId="39F0B48C">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开标地点</w:t>
            </w:r>
          </w:p>
        </w:tc>
        <w:tc>
          <w:tcPr>
            <w:tcW w:w="3246" w:type="dxa"/>
            <w:noWrap w:val="0"/>
            <w:vAlign w:val="center"/>
          </w:tcPr>
          <w:p w14:paraId="21D7D7EF">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lang w:val="en-US" w:eastAsia="zh-CN"/>
              </w:rPr>
              <w:t>克拉玛依市政府2号楼政务服务和公共资源交易中心</w:t>
            </w:r>
          </w:p>
        </w:tc>
      </w:tr>
      <w:tr w14:paraId="022D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9900" w:type="dxa"/>
            <w:gridSpan w:val="4"/>
            <w:noWrap w:val="0"/>
            <w:vAlign w:val="center"/>
          </w:tcPr>
          <w:p w14:paraId="11ED3713">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评标内容：</w:t>
            </w:r>
          </w:p>
        </w:tc>
      </w:tr>
      <w:tr w14:paraId="167F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6" w:hRule="atLeast"/>
        </w:trPr>
        <w:tc>
          <w:tcPr>
            <w:tcW w:w="9900" w:type="dxa"/>
            <w:gridSpan w:val="4"/>
            <w:noWrap w:val="0"/>
            <w:vAlign w:val="top"/>
          </w:tcPr>
          <w:p w14:paraId="2B069C8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格性审查不予通过。新疆泽强工程项目管理咨询有限公司不满足资格审查第21项“是否满足招标文件其他要求”，不符合“财务要求：近三年（指202</w:t>
            </w:r>
            <w:r>
              <w:rPr>
                <w:rFonts w:hint="default" w:ascii="仿宋" w:hAnsi="仿宋" w:eastAsia="仿宋" w:cs="仿宋"/>
                <w:color w:val="auto"/>
                <w:sz w:val="24"/>
                <w:highlight w:val="none"/>
                <w:lang w:val="en" w:eastAsia="zh-CN"/>
              </w:rPr>
              <w:t>3</w:t>
            </w:r>
            <w:r>
              <w:rPr>
                <w:rFonts w:hint="eastAsia" w:ascii="仿宋" w:hAnsi="仿宋" w:eastAsia="仿宋" w:cs="仿宋"/>
                <w:color w:val="auto"/>
                <w:sz w:val="24"/>
                <w:highlight w:val="none"/>
                <w:lang w:val="en-US" w:eastAsia="zh-CN"/>
              </w:rPr>
              <w:t>年度、202</w:t>
            </w:r>
            <w:r>
              <w:rPr>
                <w:rFonts w:hint="default" w:ascii="仿宋" w:hAnsi="仿宋" w:eastAsia="仿宋" w:cs="仿宋"/>
                <w:color w:val="auto"/>
                <w:sz w:val="24"/>
                <w:highlight w:val="none"/>
                <w:lang w:val="en" w:eastAsia="zh-CN"/>
              </w:rPr>
              <w:t>4</w:t>
            </w:r>
            <w:r>
              <w:rPr>
                <w:rFonts w:hint="eastAsia" w:ascii="仿宋" w:hAnsi="仿宋" w:eastAsia="仿宋" w:cs="仿宋"/>
                <w:color w:val="auto"/>
                <w:sz w:val="24"/>
                <w:highlight w:val="none"/>
                <w:lang w:val="en-US" w:eastAsia="zh-CN"/>
              </w:rPr>
              <w:t>年度、202</w:t>
            </w:r>
            <w:r>
              <w:rPr>
                <w:rFonts w:hint="default" w:ascii="仿宋" w:hAnsi="仿宋" w:eastAsia="仿宋" w:cs="仿宋"/>
                <w:color w:val="auto"/>
                <w:sz w:val="24"/>
                <w:highlight w:val="none"/>
                <w:lang w:val="en" w:eastAsia="zh-CN"/>
              </w:rPr>
              <w:t>5</w:t>
            </w:r>
            <w:r>
              <w:rPr>
                <w:rFonts w:hint="eastAsia" w:ascii="仿宋" w:hAnsi="仿宋" w:eastAsia="仿宋" w:cs="仿宋"/>
                <w:color w:val="auto"/>
                <w:sz w:val="24"/>
                <w:highlight w:val="none"/>
                <w:lang w:val="en-US" w:eastAsia="zh-CN"/>
              </w:rPr>
              <w:t>年度）经会</w:t>
            </w:r>
            <w:bookmarkStart w:id="1" w:name="_GoBack"/>
            <w:bookmarkEnd w:id="1"/>
            <w:r>
              <w:rPr>
                <w:rFonts w:hint="eastAsia" w:ascii="仿宋" w:hAnsi="仿宋" w:eastAsia="仿宋" w:cs="仿宋"/>
                <w:color w:val="auto"/>
                <w:sz w:val="24"/>
                <w:highlight w:val="none"/>
                <w:lang w:val="en-US" w:eastAsia="zh-CN"/>
              </w:rPr>
              <w:t>计师事务所或审计机构审计的财务审计报告，包括资产负债表、现金流量表、损益表、所有者权益变动表和财务报表附注。（新成立公司如不能完整提供三年财务审计报告，需提供现有的财务审计报告并附情况说明加盖投标人电子印章），包括资产负债表、现金流量表、损益表和财务情况说明书；）”，经评标委员会评审，资格性审查不予通过。其余各投标单位资格审查均符合要求。3、评标委员会按照详细评审标准对各投标单位的投标人监理大纲、企业综合实力及投标报价进行打分。</w:t>
            </w:r>
          </w:p>
          <w:p w14:paraId="0092E02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四、分值汇总、推荐定标候选人</w:t>
            </w:r>
          </w:p>
          <w:p w14:paraId="3BC743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1、评标委员会委托招标代理机构计算各投标人的综合得分=[监理大纲(暗评) 得分+企业综合实力及投标报价(明评)得分]。</w:t>
            </w:r>
          </w:p>
          <w:p w14:paraId="6C15C1F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2、评标委员会依据招标文件中规定的评标方法确定定标候选人，定标候选人不分排名先后。招标文件规定定标候选人为4名，符合要求的定标候选人为4名。</w:t>
            </w:r>
          </w:p>
          <w:p w14:paraId="6C508FD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依据招标文件“评定分离”定标方法规定，评标委员会推荐以下4家单位为定标候选人：（注：推荐的定标候选人顺序以单位名称首字的拼音字母先后顺序进行公示，如首字母相同的从第二字开始，以此类推）</w:t>
            </w:r>
          </w:p>
          <w:p w14:paraId="578295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克拉玛依市金科工程监理有限责任公司</w:t>
            </w:r>
          </w:p>
          <w:p w14:paraId="45EDDE4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首盛国际工程咨询集团有限公司</w:t>
            </w:r>
          </w:p>
          <w:p w14:paraId="5F0DE30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乌鲁木齐城建监理咨询有限责任公司</w:t>
            </w:r>
          </w:p>
          <w:p w14:paraId="541C39D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新疆天麒工程项目管理咨询有限责任公司</w:t>
            </w:r>
          </w:p>
          <w:p w14:paraId="0CBB9B9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3、评标委员会全体成员在“评标报告”、“开、评标会现场记录”等签字确认评标结果，并对评标结果负责。</w:t>
            </w:r>
          </w:p>
          <w:p w14:paraId="25F6637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五、宣布评标结果</w:t>
            </w:r>
          </w:p>
          <w:p w14:paraId="5B5FECF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1、招标代理机构工作人员在现场监督人员的监督下，向评标委员会宣布评标结果及推荐的定标候选人。</w:t>
            </w:r>
          </w:p>
          <w:p w14:paraId="6A1C37D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2、宣布开标、评标会议结束。</w:t>
            </w:r>
          </w:p>
        </w:tc>
      </w:tr>
      <w:tr w14:paraId="7BA96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9900" w:type="dxa"/>
            <w:gridSpan w:val="4"/>
            <w:shd w:val="clear" w:color="auto" w:fill="auto"/>
            <w:noWrap w:val="0"/>
            <w:vAlign w:val="center"/>
          </w:tcPr>
          <w:p w14:paraId="4CFCD2B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val="en-US" w:eastAsia="zh-CN"/>
              </w:rPr>
              <w:t>评委签字：</w:t>
            </w:r>
          </w:p>
        </w:tc>
      </w:tr>
    </w:tbl>
    <w:p w14:paraId="171CF132">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rPr>
      </w:pPr>
    </w:p>
    <w:sectPr>
      <w:headerReference r:id="rId3" w:type="default"/>
      <w:pgSz w:w="11906" w:h="16838"/>
      <w:pgMar w:top="850" w:right="680" w:bottom="850" w:left="6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4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9F081">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77BD7"/>
    <w:rsid w:val="04CE1F73"/>
    <w:rsid w:val="05D44737"/>
    <w:rsid w:val="107439CE"/>
    <w:rsid w:val="18422604"/>
    <w:rsid w:val="19120228"/>
    <w:rsid w:val="1AA522CE"/>
    <w:rsid w:val="1D23452D"/>
    <w:rsid w:val="2004529B"/>
    <w:rsid w:val="28C568E8"/>
    <w:rsid w:val="2B8E6554"/>
    <w:rsid w:val="2C555D4C"/>
    <w:rsid w:val="2F781B27"/>
    <w:rsid w:val="319F545B"/>
    <w:rsid w:val="383C01B9"/>
    <w:rsid w:val="489D100D"/>
    <w:rsid w:val="49402B7C"/>
    <w:rsid w:val="4F027E1C"/>
    <w:rsid w:val="56CD2FAF"/>
    <w:rsid w:val="5CD56B70"/>
    <w:rsid w:val="5F645F89"/>
    <w:rsid w:val="5FC47E12"/>
    <w:rsid w:val="602120CC"/>
    <w:rsid w:val="6EF87904"/>
    <w:rsid w:val="71267542"/>
    <w:rsid w:val="744523D5"/>
    <w:rsid w:val="7C9B7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0"/>
  </w:style>
  <w:style w:type="character" w:styleId="6">
    <w:name w:val="FollowedHyperlink"/>
    <w:basedOn w:val="4"/>
    <w:qFormat/>
    <w:uiPriority w:val="0"/>
    <w:rPr>
      <w:color w:val="800080"/>
      <w:u w:val="none"/>
    </w:rPr>
  </w:style>
  <w:style w:type="character" w:styleId="7">
    <w:name w:val="Emphasis"/>
    <w:basedOn w:val="4"/>
    <w:qFormat/>
    <w:uiPriority w:val="0"/>
  </w:style>
  <w:style w:type="character" w:styleId="8">
    <w:name w:val="HTML Definition"/>
    <w:basedOn w:val="4"/>
    <w:qFormat/>
    <w:uiPriority w:val="0"/>
  </w:style>
  <w:style w:type="character" w:styleId="9">
    <w:name w:val="HTML Typewriter"/>
    <w:basedOn w:val="4"/>
    <w:qFormat/>
    <w:uiPriority w:val="0"/>
    <w:rPr>
      <w:rFonts w:ascii="Courier New" w:hAnsi="Courier New"/>
      <w:sz w:val="20"/>
    </w:rPr>
  </w:style>
  <w:style w:type="character" w:styleId="10">
    <w:name w:val="HTML Acronym"/>
    <w:basedOn w:val="4"/>
    <w:qFormat/>
    <w:uiPriority w:val="0"/>
  </w:style>
  <w:style w:type="character" w:styleId="11">
    <w:name w:val="HTML Variable"/>
    <w:basedOn w:val="4"/>
    <w:qFormat/>
    <w:uiPriority w:val="0"/>
  </w:style>
  <w:style w:type="character" w:styleId="12">
    <w:name w:val="Hyperlink"/>
    <w:basedOn w:val="4"/>
    <w:qFormat/>
    <w:uiPriority w:val="0"/>
    <w:rPr>
      <w:color w:val="0000FF"/>
      <w:u w:val="none"/>
    </w:rPr>
  </w:style>
  <w:style w:type="character" w:styleId="13">
    <w:name w:val="HTML Code"/>
    <w:basedOn w:val="4"/>
    <w:qFormat/>
    <w:uiPriority w:val="0"/>
    <w:rPr>
      <w:rFonts w:ascii="Courier New" w:hAnsi="Courier New"/>
      <w:sz w:val="20"/>
    </w:rPr>
  </w:style>
  <w:style w:type="character" w:styleId="14">
    <w:name w:val="HTML Cite"/>
    <w:basedOn w:val="4"/>
    <w:qFormat/>
    <w:uiPriority w:val="0"/>
  </w:style>
  <w:style w:type="character" w:styleId="15">
    <w:name w:val="HTML Keyboard"/>
    <w:basedOn w:val="4"/>
    <w:qFormat/>
    <w:uiPriority w:val="0"/>
    <w:rPr>
      <w:rFonts w:ascii="Courier New" w:hAnsi="Courier New"/>
      <w:sz w:val="20"/>
    </w:rPr>
  </w:style>
  <w:style w:type="character" w:styleId="16">
    <w:name w:val="HTML Sample"/>
    <w:basedOn w:val="4"/>
    <w:qFormat/>
    <w:uiPriority w:val="0"/>
    <w:rPr>
      <w:rFonts w:ascii="Courier New" w:hAnsi="Courier New"/>
    </w:rPr>
  </w:style>
  <w:style w:type="character" w:customStyle="1" w:styleId="17">
    <w:name w:val="toolbarlabel"/>
    <w:basedOn w:val="4"/>
    <w:qFormat/>
    <w:uiPriority w:val="0"/>
    <w:rPr>
      <w:color w:val="333333"/>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1536</Words>
  <Characters>1574</Characters>
  <Lines>0</Lines>
  <Paragraphs>0</Paragraphs>
  <TotalTime>2</TotalTime>
  <ScaleCrop>false</ScaleCrop>
  <LinksUpToDate>false</LinksUpToDate>
  <CharactersWithSpaces>1577</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2026-07-06T11:09:00Z</dcterms:created>
  <dc:creator>Administrator</dc:creator>
  <cp:lastModifiedBy>妮娜</cp:lastModifiedBy>
  <dcterms:modified xsi:type="dcterms:W3CDTF">2026-07-24T13:37:15Z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DA49AD970ADE441E9772B0E22B5CB172_13</vt:lpwstr>
  </property>
  <property fmtid="{D5CDD505-2E9C-101B-9397-08002B2CF9AE}" pid="4" name="KSOTemplateDocerSaveRecord">
    <vt:lpwstr>eyJoZGlkIjoiYmE5NGM0ZTkxNGRjYTU3MmY2MmU3NTFiYzc4NTM5NWYiLCJ1c2VySWQiOiIxMDE5OTY5OTU4In0=</vt:lpwstr>
  </property>
</Properties>
</file>