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EF33FE">
      <w:pPr>
        <w:spacing w:before="88" w:line="222" w:lineRule="auto"/>
        <w:ind w:left="3041"/>
        <w:outlineLvl w:val="0"/>
        <w:rPr>
          <w:rFonts w:hint="eastAsia" w:ascii="宋体" w:hAnsi="宋体" w:eastAsia="宋体" w:cs="宋体"/>
          <w:sz w:val="44"/>
          <w:szCs w:val="44"/>
        </w:rPr>
      </w:pPr>
      <w:r>
        <w:rPr>
          <w:rFonts w:hint="eastAsia" w:ascii="宋体" w:hAnsi="宋体" w:eastAsia="宋体" w:cs="宋体"/>
          <w:b/>
          <w:bCs/>
          <w:spacing w:val="-8"/>
          <w:sz w:val="44"/>
          <w:szCs w:val="44"/>
        </w:rPr>
        <w:t>开、评标会现场记录</w:t>
      </w:r>
    </w:p>
    <w:p w14:paraId="6B867D16">
      <w:pPr>
        <w:keepNext w:val="0"/>
        <w:keepLines w:val="0"/>
        <w:pageBreakBefore w:val="0"/>
        <w:widowControl/>
        <w:kinsoku w:val="0"/>
        <w:wordWrap/>
        <w:overflowPunct/>
        <w:topLinePunct w:val="0"/>
        <w:autoSpaceDE w:val="0"/>
        <w:autoSpaceDN w:val="0"/>
        <w:bidi w:val="0"/>
        <w:adjustRightInd w:val="0"/>
        <w:snapToGrid w:val="0"/>
        <w:spacing w:before="80" w:line="440" w:lineRule="exact"/>
        <w:ind w:left="195"/>
        <w:textAlignment w:val="baseline"/>
        <w:rPr>
          <w:rFonts w:hint="eastAsia" w:ascii="宋体" w:hAnsi="宋体" w:eastAsia="宋体" w:cs="宋体"/>
          <w:spacing w:val="1"/>
          <w:sz w:val="28"/>
          <w:szCs w:val="28"/>
        </w:rPr>
      </w:pPr>
      <w:r>
        <w:rPr>
          <w:rFonts w:hint="eastAsia" w:ascii="宋体" w:hAnsi="宋体" w:eastAsia="宋体" w:cs="宋体"/>
          <w:spacing w:val="1"/>
          <w:sz w:val="28"/>
          <w:szCs w:val="28"/>
        </w:rPr>
        <w:t>项目名称：独山子第一中学校园基础设施维修改造项目（施工）</w:t>
      </w:r>
    </w:p>
    <w:tbl>
      <w:tblPr>
        <w:tblStyle w:val="16"/>
        <w:tblW w:w="1000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07"/>
        <w:gridCol w:w="1964"/>
        <w:gridCol w:w="1251"/>
        <w:gridCol w:w="5078"/>
      </w:tblGrid>
      <w:tr w14:paraId="4C93AB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5" w:hRule="atLeast"/>
        </w:trPr>
        <w:tc>
          <w:tcPr>
            <w:tcW w:w="1707" w:type="dxa"/>
            <w:vAlign w:val="top"/>
          </w:tcPr>
          <w:p w14:paraId="3D0AF261">
            <w:pPr>
              <w:pStyle w:val="17"/>
              <w:keepNext w:val="0"/>
              <w:keepLines/>
              <w:pageBreakBefore w:val="0"/>
              <w:widowControl w:val="0"/>
              <w:kinsoku w:val="0"/>
              <w:wordWrap/>
              <w:overflowPunct/>
              <w:topLinePunct w:val="0"/>
              <w:autoSpaceDE w:val="0"/>
              <w:autoSpaceDN w:val="0"/>
              <w:bidi w:val="0"/>
              <w:adjustRightInd w:val="0"/>
              <w:snapToGrid w:val="0"/>
              <w:spacing w:before="152" w:line="440" w:lineRule="exact"/>
              <w:jc w:val="center"/>
              <w:textAlignment w:val="baseline"/>
              <w:rPr>
                <w:rFonts w:hint="eastAsia" w:ascii="宋体" w:hAnsi="宋体" w:eastAsia="宋体" w:cs="宋体"/>
                <w:sz w:val="28"/>
                <w:szCs w:val="28"/>
              </w:rPr>
            </w:pPr>
            <w:r>
              <w:rPr>
                <w:rFonts w:hint="eastAsia" w:ascii="宋体" w:hAnsi="宋体" w:eastAsia="宋体" w:cs="宋体"/>
                <w:spacing w:val="2"/>
                <w:sz w:val="28"/>
                <w:szCs w:val="28"/>
              </w:rPr>
              <w:t>招标代理机构</w:t>
            </w:r>
          </w:p>
        </w:tc>
        <w:tc>
          <w:tcPr>
            <w:tcW w:w="8293" w:type="dxa"/>
            <w:gridSpan w:val="3"/>
            <w:vAlign w:val="top"/>
          </w:tcPr>
          <w:p w14:paraId="51AAAAA5">
            <w:pPr>
              <w:pStyle w:val="17"/>
              <w:keepNext w:val="0"/>
              <w:keepLines/>
              <w:pageBreakBefore w:val="0"/>
              <w:widowControl w:val="0"/>
              <w:kinsoku w:val="0"/>
              <w:wordWrap/>
              <w:overflowPunct/>
              <w:topLinePunct w:val="0"/>
              <w:autoSpaceDE w:val="0"/>
              <w:autoSpaceDN w:val="0"/>
              <w:bidi w:val="0"/>
              <w:adjustRightInd w:val="0"/>
              <w:snapToGrid w:val="0"/>
              <w:spacing w:before="153" w:line="440" w:lineRule="exact"/>
              <w:ind w:left="122"/>
              <w:textAlignment w:val="baseline"/>
              <w:rPr>
                <w:rFonts w:hint="eastAsia" w:ascii="宋体" w:hAnsi="宋体" w:eastAsia="宋体" w:cs="宋体"/>
                <w:sz w:val="28"/>
                <w:szCs w:val="28"/>
                <w:lang w:val="en-US" w:eastAsia="zh-CN"/>
              </w:rPr>
            </w:pPr>
            <w:bookmarkStart w:id="0" w:name="EB8a512457a24a431094f52d4f46f69472"/>
            <w:r>
              <w:rPr>
                <w:rFonts w:hint="eastAsia" w:ascii="宋体" w:hAnsi="宋体" w:eastAsia="宋体" w:cs="宋体"/>
                <w:sz w:val="28"/>
                <w:szCs w:val="28"/>
                <w:lang w:val="en-US" w:eastAsia="zh-CN"/>
              </w:rPr>
              <w:t>新疆光大恒兴工程造价咨询有限公司</w:t>
            </w:r>
            <w:bookmarkEnd w:id="0"/>
          </w:p>
        </w:tc>
      </w:tr>
      <w:tr w14:paraId="5ACE10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9" w:hRule="atLeast"/>
        </w:trPr>
        <w:tc>
          <w:tcPr>
            <w:tcW w:w="1707" w:type="dxa"/>
            <w:vAlign w:val="top"/>
          </w:tcPr>
          <w:p w14:paraId="505A6B67">
            <w:pPr>
              <w:pStyle w:val="17"/>
              <w:keepNext w:val="0"/>
              <w:keepLines/>
              <w:pageBreakBefore w:val="0"/>
              <w:widowControl w:val="0"/>
              <w:kinsoku w:val="0"/>
              <w:wordWrap/>
              <w:overflowPunct/>
              <w:topLinePunct w:val="0"/>
              <w:autoSpaceDE w:val="0"/>
              <w:autoSpaceDN w:val="0"/>
              <w:bidi w:val="0"/>
              <w:adjustRightInd w:val="0"/>
              <w:snapToGrid w:val="0"/>
              <w:spacing w:before="239" w:line="440" w:lineRule="exact"/>
              <w:jc w:val="center"/>
              <w:textAlignment w:val="baseline"/>
              <w:rPr>
                <w:rFonts w:hint="eastAsia" w:ascii="宋体" w:hAnsi="宋体" w:eastAsia="宋体" w:cs="宋体"/>
                <w:sz w:val="28"/>
                <w:szCs w:val="28"/>
              </w:rPr>
            </w:pPr>
            <w:r>
              <w:rPr>
                <w:rFonts w:hint="eastAsia" w:ascii="宋体" w:hAnsi="宋体" w:eastAsia="宋体" w:cs="宋体"/>
                <w:spacing w:val="5"/>
                <w:sz w:val="28"/>
                <w:szCs w:val="28"/>
              </w:rPr>
              <w:t>开标时间</w:t>
            </w:r>
          </w:p>
        </w:tc>
        <w:tc>
          <w:tcPr>
            <w:tcW w:w="1964" w:type="dxa"/>
            <w:vAlign w:val="top"/>
          </w:tcPr>
          <w:p w14:paraId="41A7315E">
            <w:pPr>
              <w:pStyle w:val="17"/>
              <w:keepNext w:val="0"/>
              <w:keepLines/>
              <w:pageBreakBefore w:val="0"/>
              <w:widowControl w:val="0"/>
              <w:kinsoku w:val="0"/>
              <w:wordWrap/>
              <w:overflowPunct/>
              <w:topLinePunct w:val="0"/>
              <w:autoSpaceDE w:val="0"/>
              <w:autoSpaceDN w:val="0"/>
              <w:bidi w:val="0"/>
              <w:adjustRightInd w:val="0"/>
              <w:snapToGrid w:val="0"/>
              <w:spacing w:before="238" w:line="440" w:lineRule="exact"/>
              <w:ind w:left="342"/>
              <w:textAlignment w:val="baseline"/>
              <w:rPr>
                <w:rFonts w:hint="eastAsia" w:ascii="宋体" w:hAnsi="宋体" w:eastAsia="宋体" w:cs="宋体"/>
                <w:sz w:val="28"/>
                <w:szCs w:val="28"/>
              </w:rPr>
            </w:pPr>
            <w:r>
              <w:rPr>
                <w:rFonts w:hint="eastAsia" w:ascii="宋体" w:hAnsi="宋体" w:eastAsia="宋体" w:cs="宋体"/>
                <w:spacing w:val="-1"/>
                <w:sz w:val="28"/>
                <w:szCs w:val="28"/>
              </w:rPr>
              <w:t>20</w:t>
            </w:r>
            <w:r>
              <w:rPr>
                <w:rFonts w:hint="eastAsia" w:ascii="宋体" w:hAnsi="宋体" w:eastAsia="宋体" w:cs="宋体"/>
                <w:spacing w:val="-1"/>
                <w:sz w:val="28"/>
                <w:szCs w:val="28"/>
                <w:lang w:val="en-US" w:eastAsia="zh-CN"/>
              </w:rPr>
              <w:t>2</w:t>
            </w:r>
            <w:r>
              <w:rPr>
                <w:rFonts w:hint="eastAsia" w:cs="宋体"/>
                <w:spacing w:val="-1"/>
                <w:sz w:val="28"/>
                <w:szCs w:val="28"/>
                <w:lang w:val="en-US" w:eastAsia="zh-CN"/>
              </w:rPr>
              <w:t>6</w:t>
            </w:r>
            <w:r>
              <w:rPr>
                <w:rFonts w:hint="eastAsia" w:ascii="宋体" w:hAnsi="宋体" w:eastAsia="宋体" w:cs="宋体"/>
                <w:spacing w:val="-1"/>
                <w:sz w:val="28"/>
                <w:szCs w:val="28"/>
              </w:rPr>
              <w:t>年</w:t>
            </w:r>
            <w:r>
              <w:rPr>
                <w:rFonts w:hint="eastAsia" w:cs="宋体"/>
                <w:spacing w:val="-1"/>
                <w:sz w:val="28"/>
                <w:szCs w:val="28"/>
                <w:lang w:val="en-US" w:eastAsia="zh-CN"/>
              </w:rPr>
              <w:t>8</w:t>
            </w:r>
            <w:r>
              <w:rPr>
                <w:rFonts w:hint="eastAsia" w:ascii="宋体" w:hAnsi="宋体" w:eastAsia="宋体" w:cs="宋体"/>
                <w:spacing w:val="-1"/>
                <w:sz w:val="28"/>
                <w:szCs w:val="28"/>
              </w:rPr>
              <w:t>月</w:t>
            </w:r>
            <w:r>
              <w:rPr>
                <w:rFonts w:hint="eastAsia" w:cs="宋体"/>
                <w:spacing w:val="-1"/>
                <w:sz w:val="28"/>
                <w:szCs w:val="28"/>
                <w:lang w:val="en-US" w:eastAsia="zh-CN"/>
              </w:rPr>
              <w:t>20</w:t>
            </w:r>
            <w:r>
              <w:rPr>
                <w:rFonts w:hint="eastAsia" w:ascii="宋体" w:hAnsi="宋体" w:eastAsia="宋体" w:cs="宋体"/>
                <w:spacing w:val="-1"/>
                <w:sz w:val="28"/>
                <w:szCs w:val="28"/>
              </w:rPr>
              <w:t>日1</w:t>
            </w:r>
            <w:r>
              <w:rPr>
                <w:rFonts w:hint="eastAsia" w:cs="宋体"/>
                <w:spacing w:val="-1"/>
                <w:sz w:val="28"/>
                <w:szCs w:val="28"/>
                <w:lang w:val="en-US" w:eastAsia="zh-CN"/>
              </w:rPr>
              <w:t>1</w:t>
            </w:r>
            <w:r>
              <w:rPr>
                <w:rFonts w:hint="eastAsia" w:ascii="宋体" w:hAnsi="宋体" w:eastAsia="宋体" w:cs="宋体"/>
                <w:spacing w:val="-1"/>
                <w:sz w:val="28"/>
                <w:szCs w:val="28"/>
              </w:rPr>
              <w:t>:</w:t>
            </w:r>
            <w:r>
              <w:rPr>
                <w:rFonts w:hint="eastAsia" w:cs="宋体"/>
                <w:spacing w:val="-1"/>
                <w:sz w:val="28"/>
                <w:szCs w:val="28"/>
                <w:lang w:val="en-US" w:eastAsia="zh-CN"/>
              </w:rPr>
              <w:t>0</w:t>
            </w:r>
            <w:r>
              <w:rPr>
                <w:rFonts w:hint="eastAsia" w:ascii="宋体" w:hAnsi="宋体" w:eastAsia="宋体" w:cs="宋体"/>
                <w:spacing w:val="-1"/>
                <w:sz w:val="28"/>
                <w:szCs w:val="28"/>
              </w:rPr>
              <w:t>0</w:t>
            </w:r>
          </w:p>
        </w:tc>
        <w:tc>
          <w:tcPr>
            <w:tcW w:w="1251" w:type="dxa"/>
            <w:vAlign w:val="top"/>
          </w:tcPr>
          <w:p w14:paraId="46C6304B">
            <w:pPr>
              <w:pStyle w:val="17"/>
              <w:keepNext w:val="0"/>
              <w:keepLines/>
              <w:pageBreakBefore w:val="0"/>
              <w:widowControl w:val="0"/>
              <w:kinsoku w:val="0"/>
              <w:wordWrap/>
              <w:overflowPunct/>
              <w:topLinePunct w:val="0"/>
              <w:autoSpaceDE w:val="0"/>
              <w:autoSpaceDN w:val="0"/>
              <w:bidi w:val="0"/>
              <w:adjustRightInd w:val="0"/>
              <w:snapToGrid w:val="0"/>
              <w:spacing w:before="239" w:line="440" w:lineRule="exact"/>
              <w:jc w:val="center"/>
              <w:textAlignment w:val="baseline"/>
              <w:rPr>
                <w:rFonts w:hint="eastAsia" w:ascii="宋体" w:hAnsi="宋体" w:eastAsia="宋体" w:cs="宋体"/>
                <w:sz w:val="28"/>
                <w:szCs w:val="28"/>
              </w:rPr>
            </w:pPr>
            <w:r>
              <w:rPr>
                <w:rFonts w:hint="eastAsia" w:ascii="宋体" w:hAnsi="宋体" w:eastAsia="宋体" w:cs="宋体"/>
                <w:spacing w:val="4"/>
                <w:sz w:val="28"/>
                <w:szCs w:val="28"/>
              </w:rPr>
              <w:t>开标地点</w:t>
            </w:r>
          </w:p>
        </w:tc>
        <w:tc>
          <w:tcPr>
            <w:tcW w:w="5078" w:type="dxa"/>
            <w:vAlign w:val="top"/>
          </w:tcPr>
          <w:p w14:paraId="14EC1C1D">
            <w:pPr>
              <w:pStyle w:val="17"/>
              <w:keepNext w:val="0"/>
              <w:keepLines/>
              <w:pageBreakBefore w:val="0"/>
              <w:widowControl w:val="0"/>
              <w:kinsoku w:val="0"/>
              <w:wordWrap/>
              <w:overflowPunct/>
              <w:topLinePunct w:val="0"/>
              <w:autoSpaceDE w:val="0"/>
              <w:autoSpaceDN w:val="0"/>
              <w:bidi w:val="0"/>
              <w:adjustRightInd w:val="0"/>
              <w:snapToGrid w:val="0"/>
              <w:spacing w:before="98" w:line="440" w:lineRule="exact"/>
              <w:ind w:right="164"/>
              <w:textAlignment w:val="baseline"/>
              <w:rPr>
                <w:rFonts w:hint="eastAsia" w:ascii="宋体" w:hAnsi="宋体" w:eastAsia="宋体" w:cs="宋体"/>
                <w:sz w:val="28"/>
                <w:szCs w:val="28"/>
              </w:rPr>
            </w:pPr>
            <w:bookmarkStart w:id="1" w:name="EB6f1f45a11b614981b821cc43c77667b8"/>
            <w:r>
              <w:rPr>
                <w:rFonts w:hint="eastAsia" w:ascii="宋体" w:hAnsi="宋体" w:eastAsia="宋体" w:cs="宋体"/>
                <w:sz w:val="28"/>
                <w:szCs w:val="28"/>
                <w:lang w:val="en-US" w:eastAsia="zh-CN"/>
              </w:rPr>
              <w:t>克拉玛依市独山子区城投大厦13楼东侧大厅，克拉玛依公共资源电子交易系统</w:t>
            </w:r>
            <w:bookmarkEnd w:id="1"/>
          </w:p>
        </w:tc>
      </w:tr>
      <w:tr w14:paraId="39C8D0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0000" w:type="dxa"/>
            <w:gridSpan w:val="4"/>
            <w:vAlign w:val="top"/>
          </w:tcPr>
          <w:p w14:paraId="5A0D312A">
            <w:pPr>
              <w:pStyle w:val="17"/>
              <w:keepNext w:val="0"/>
              <w:keepLines/>
              <w:pageBreakBefore w:val="0"/>
              <w:widowControl w:val="0"/>
              <w:kinsoku w:val="0"/>
              <w:wordWrap/>
              <w:overflowPunct/>
              <w:topLinePunct w:val="0"/>
              <w:autoSpaceDE w:val="0"/>
              <w:autoSpaceDN w:val="0"/>
              <w:bidi w:val="0"/>
              <w:adjustRightInd w:val="0"/>
              <w:snapToGrid w:val="0"/>
              <w:spacing w:before="99" w:line="440" w:lineRule="exact"/>
              <w:ind w:left="105"/>
              <w:textAlignment w:val="baseline"/>
              <w:rPr>
                <w:rFonts w:hint="eastAsia" w:ascii="宋体" w:hAnsi="宋体" w:eastAsia="宋体" w:cs="宋体"/>
                <w:sz w:val="28"/>
                <w:szCs w:val="28"/>
              </w:rPr>
            </w:pPr>
            <w:r>
              <w:rPr>
                <w:rFonts w:hint="eastAsia" w:ascii="宋体" w:hAnsi="宋体" w:eastAsia="宋体" w:cs="宋体"/>
                <w:spacing w:val="1"/>
                <w:sz w:val="28"/>
                <w:szCs w:val="28"/>
              </w:rPr>
              <w:t>评标内容：</w:t>
            </w:r>
          </w:p>
        </w:tc>
      </w:tr>
      <w:tr w14:paraId="2674E0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2" w:hRule="atLeast"/>
        </w:trPr>
        <w:tc>
          <w:tcPr>
            <w:tcW w:w="10000" w:type="dxa"/>
            <w:gridSpan w:val="4"/>
            <w:vAlign w:val="top"/>
          </w:tcPr>
          <w:p w14:paraId="6AFFF50E">
            <w:pPr>
              <w:pStyle w:val="17"/>
              <w:keepNext w:val="0"/>
              <w:keepLines/>
              <w:pageBreakBefore w:val="0"/>
              <w:widowControl w:val="0"/>
              <w:kinsoku/>
              <w:wordWrap w:val="0"/>
              <w:overflowPunct/>
              <w:topLinePunct w:val="0"/>
              <w:autoSpaceDE w:val="0"/>
              <w:autoSpaceDN w:val="0"/>
              <w:bidi w:val="0"/>
              <w:adjustRightInd w:val="0"/>
              <w:snapToGrid w:val="0"/>
              <w:spacing w:before="97" w:line="440" w:lineRule="exact"/>
              <w:ind w:left="108"/>
              <w:textAlignment w:val="baseline"/>
              <w:rPr>
                <w:rFonts w:hint="eastAsia" w:ascii="宋体" w:hAnsi="宋体" w:eastAsia="宋体" w:cs="宋体"/>
                <w:sz w:val="28"/>
                <w:szCs w:val="28"/>
              </w:rPr>
            </w:pPr>
            <w:r>
              <w:rPr>
                <w:rFonts w:hint="eastAsia" w:ascii="宋体" w:hAnsi="宋体" w:eastAsia="宋体" w:cs="宋体"/>
                <w:b/>
                <w:bCs/>
                <w:spacing w:val="-3"/>
                <w:sz w:val="28"/>
                <w:szCs w:val="28"/>
              </w:rPr>
              <w:t>一、电子开标</w:t>
            </w:r>
          </w:p>
          <w:p w14:paraId="61E2FAA7">
            <w:pPr>
              <w:pStyle w:val="17"/>
              <w:keepNext w:val="0"/>
              <w:keepLines/>
              <w:pageBreakBefore w:val="0"/>
              <w:widowControl w:val="0"/>
              <w:kinsoku/>
              <w:wordWrap w:val="0"/>
              <w:overflowPunct/>
              <w:topLinePunct w:val="0"/>
              <w:autoSpaceDE w:val="0"/>
              <w:autoSpaceDN w:val="0"/>
              <w:bidi w:val="0"/>
              <w:adjustRightInd w:val="0"/>
              <w:snapToGrid w:val="0"/>
              <w:spacing w:before="120" w:line="440" w:lineRule="exact"/>
              <w:ind w:left="105"/>
              <w:textAlignment w:val="baseline"/>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3"/>
                <w:sz w:val="28"/>
                <w:szCs w:val="28"/>
              </w:rPr>
              <w:t>1、在招标文件规</w:t>
            </w:r>
            <w:r>
              <w:rPr>
                <w:rFonts w:hint="eastAsia" w:asciiTheme="minorEastAsia" w:hAnsiTheme="minorEastAsia" w:eastAsiaTheme="minorEastAsia" w:cstheme="minorEastAsia"/>
                <w:spacing w:val="3"/>
                <w:sz w:val="28"/>
                <w:szCs w:val="28"/>
                <w:highlight w:val="none"/>
              </w:rPr>
              <w:t>定的获取文件时间内，</w:t>
            </w:r>
            <w:r>
              <w:rPr>
                <w:rFonts w:hint="eastAsia" w:asciiTheme="minorEastAsia" w:hAnsiTheme="minorEastAsia" w:eastAsiaTheme="minorEastAsia" w:cstheme="minorEastAsia"/>
                <w:color w:val="000000" w:themeColor="text1"/>
                <w:spacing w:val="3"/>
                <w:sz w:val="28"/>
                <w:szCs w:val="28"/>
                <w:highlight w:val="none"/>
                <w14:textFill>
                  <w14:solidFill>
                    <w14:schemeClr w14:val="tx1"/>
                  </w14:solidFill>
                </w14:textFill>
              </w:rPr>
              <w:t>共有</w:t>
            </w:r>
            <w:r>
              <w:rPr>
                <w:rFonts w:hint="eastAsia" w:asciiTheme="minorEastAsia" w:hAnsiTheme="minorEastAsia" w:eastAsiaTheme="minorEastAsia" w:cstheme="minorEastAsia"/>
                <w:color w:val="000000" w:themeColor="text1"/>
                <w:spacing w:val="3"/>
                <w:sz w:val="28"/>
                <w:szCs w:val="28"/>
                <w:highlight w:val="none"/>
                <w:lang w:val="en-US" w:eastAsia="zh-CN"/>
                <w14:textFill>
                  <w14:solidFill>
                    <w14:schemeClr w14:val="tx1"/>
                  </w14:solidFill>
                </w14:textFill>
              </w:rPr>
              <w:t>29</w:t>
            </w:r>
            <w:r>
              <w:rPr>
                <w:rFonts w:hint="eastAsia" w:asciiTheme="minorEastAsia" w:hAnsiTheme="minorEastAsia" w:eastAsiaTheme="minorEastAsia" w:cstheme="minorEastAsia"/>
                <w:color w:val="000000" w:themeColor="text1"/>
                <w:spacing w:val="3"/>
                <w:sz w:val="28"/>
                <w:szCs w:val="28"/>
                <w:highlight w:val="none"/>
                <w14:textFill>
                  <w14:solidFill>
                    <w14:schemeClr w14:val="tx1"/>
                  </w14:solidFill>
                </w14:textFill>
              </w:rPr>
              <w:t>家投标单位</w:t>
            </w:r>
            <w:r>
              <w:rPr>
                <w:rFonts w:hint="eastAsia" w:asciiTheme="minorEastAsia" w:hAnsiTheme="minorEastAsia" w:eastAsiaTheme="minorEastAsia" w:cstheme="minorEastAsia"/>
                <w:spacing w:val="3"/>
                <w:sz w:val="28"/>
                <w:szCs w:val="28"/>
                <w:highlight w:val="none"/>
              </w:rPr>
              <w:t>报名</w:t>
            </w:r>
            <w:r>
              <w:rPr>
                <w:rFonts w:hint="eastAsia" w:asciiTheme="minorEastAsia" w:hAnsiTheme="minorEastAsia" w:eastAsiaTheme="minorEastAsia" w:cstheme="minorEastAsia"/>
                <w:spacing w:val="3"/>
                <w:sz w:val="28"/>
                <w:szCs w:val="28"/>
                <w:highlight w:val="none"/>
                <w:lang w:val="en-US" w:eastAsia="zh-CN"/>
              </w:rPr>
              <w:t>并下载了</w:t>
            </w:r>
            <w:r>
              <w:rPr>
                <w:rFonts w:hint="eastAsia" w:asciiTheme="minorEastAsia" w:hAnsiTheme="minorEastAsia" w:eastAsiaTheme="minorEastAsia" w:cstheme="minorEastAsia"/>
                <w:spacing w:val="3"/>
                <w:sz w:val="28"/>
                <w:szCs w:val="28"/>
                <w:highlight w:val="none"/>
              </w:rPr>
              <w:t>本项目</w:t>
            </w:r>
            <w:r>
              <w:rPr>
                <w:rFonts w:hint="eastAsia" w:asciiTheme="minorEastAsia" w:hAnsiTheme="minorEastAsia" w:eastAsiaTheme="minorEastAsia" w:cstheme="minorEastAsia"/>
                <w:spacing w:val="3"/>
                <w:sz w:val="28"/>
                <w:szCs w:val="28"/>
                <w:highlight w:val="none"/>
                <w:lang w:val="en-US" w:eastAsia="zh-CN"/>
              </w:rPr>
              <w:t>招标文件</w:t>
            </w:r>
            <w:r>
              <w:rPr>
                <w:rFonts w:hint="eastAsia" w:asciiTheme="minorEastAsia" w:hAnsiTheme="minorEastAsia" w:eastAsiaTheme="minorEastAsia" w:cstheme="minorEastAsia"/>
                <w:spacing w:val="2"/>
                <w:sz w:val="28"/>
                <w:szCs w:val="28"/>
                <w:highlight w:val="none"/>
              </w:rPr>
              <w:t>；</w:t>
            </w:r>
          </w:p>
          <w:p w14:paraId="27668D0F">
            <w:pPr>
              <w:pStyle w:val="17"/>
              <w:keepNext w:val="0"/>
              <w:keepLines/>
              <w:pageBreakBefore w:val="0"/>
              <w:widowControl w:val="0"/>
              <w:kinsoku/>
              <w:wordWrap w:val="0"/>
              <w:overflowPunct/>
              <w:topLinePunct w:val="0"/>
              <w:autoSpaceDE w:val="0"/>
              <w:autoSpaceDN w:val="0"/>
              <w:bidi w:val="0"/>
              <w:adjustRightInd w:val="0"/>
              <w:snapToGrid w:val="0"/>
              <w:spacing w:before="130" w:line="440" w:lineRule="exact"/>
              <w:ind w:left="105"/>
              <w:textAlignment w:val="baseline"/>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2、</w:t>
            </w:r>
            <w:r>
              <w:rPr>
                <w:rFonts w:hint="eastAsia" w:asciiTheme="minorEastAsia" w:hAnsiTheme="minorEastAsia" w:eastAsiaTheme="minorEastAsia" w:cstheme="minorEastAsia"/>
                <w:sz w:val="28"/>
                <w:szCs w:val="28"/>
                <w:highlight w:val="none"/>
                <w:lang w:val="en-US" w:eastAsia="zh-CN"/>
              </w:rPr>
              <w:t>本项目于</w:t>
            </w:r>
            <w:r>
              <w:rPr>
                <w:rFonts w:hint="eastAsia" w:asciiTheme="minorEastAsia" w:hAnsiTheme="minorEastAsia" w:eastAsiaTheme="minorEastAsia" w:cstheme="minorEastAsia"/>
                <w:spacing w:val="-1"/>
                <w:sz w:val="28"/>
                <w:szCs w:val="28"/>
                <w:highlight w:val="none"/>
              </w:rPr>
              <w:t>20</w:t>
            </w:r>
            <w:r>
              <w:rPr>
                <w:rFonts w:hint="eastAsia" w:asciiTheme="minorEastAsia" w:hAnsiTheme="minorEastAsia" w:eastAsiaTheme="minorEastAsia" w:cstheme="minorEastAsia"/>
                <w:spacing w:val="-1"/>
                <w:sz w:val="28"/>
                <w:szCs w:val="28"/>
                <w:highlight w:val="none"/>
                <w:lang w:val="en-US" w:eastAsia="zh-CN"/>
              </w:rPr>
              <w:t>26</w:t>
            </w:r>
            <w:r>
              <w:rPr>
                <w:rFonts w:hint="eastAsia" w:asciiTheme="minorEastAsia" w:hAnsiTheme="minorEastAsia" w:eastAsiaTheme="minorEastAsia" w:cstheme="minorEastAsia"/>
                <w:spacing w:val="-1"/>
                <w:sz w:val="28"/>
                <w:szCs w:val="28"/>
                <w:highlight w:val="none"/>
              </w:rPr>
              <w:t>年</w:t>
            </w:r>
            <w:r>
              <w:rPr>
                <w:rFonts w:hint="eastAsia" w:asciiTheme="minorEastAsia" w:hAnsiTheme="minorEastAsia" w:eastAsiaTheme="minorEastAsia" w:cstheme="minorEastAsia"/>
                <w:spacing w:val="-1"/>
                <w:sz w:val="28"/>
                <w:szCs w:val="28"/>
                <w:highlight w:val="none"/>
                <w:lang w:val="en-US" w:eastAsia="zh-CN"/>
              </w:rPr>
              <w:t>8</w:t>
            </w:r>
            <w:r>
              <w:rPr>
                <w:rFonts w:hint="eastAsia" w:asciiTheme="minorEastAsia" w:hAnsiTheme="minorEastAsia" w:eastAsiaTheme="minorEastAsia" w:cstheme="minorEastAsia"/>
                <w:spacing w:val="-1"/>
                <w:sz w:val="28"/>
                <w:szCs w:val="28"/>
                <w:highlight w:val="none"/>
              </w:rPr>
              <w:t>月</w:t>
            </w:r>
            <w:r>
              <w:rPr>
                <w:rFonts w:hint="eastAsia" w:asciiTheme="minorEastAsia" w:hAnsiTheme="minorEastAsia" w:eastAsiaTheme="minorEastAsia" w:cstheme="minorEastAsia"/>
                <w:spacing w:val="-1"/>
                <w:sz w:val="28"/>
                <w:szCs w:val="28"/>
                <w:highlight w:val="none"/>
                <w:lang w:val="en-US" w:eastAsia="zh-CN"/>
              </w:rPr>
              <w:t>20</w:t>
            </w:r>
            <w:r>
              <w:rPr>
                <w:rFonts w:hint="eastAsia" w:asciiTheme="minorEastAsia" w:hAnsiTheme="minorEastAsia" w:eastAsiaTheme="minorEastAsia" w:cstheme="minorEastAsia"/>
                <w:spacing w:val="-1"/>
                <w:sz w:val="28"/>
                <w:szCs w:val="28"/>
                <w:highlight w:val="none"/>
              </w:rPr>
              <w:t>日1</w:t>
            </w:r>
            <w:r>
              <w:rPr>
                <w:rFonts w:hint="eastAsia" w:asciiTheme="minorEastAsia" w:hAnsiTheme="minorEastAsia" w:eastAsiaTheme="minorEastAsia" w:cstheme="minorEastAsia"/>
                <w:spacing w:val="-1"/>
                <w:sz w:val="28"/>
                <w:szCs w:val="28"/>
                <w:highlight w:val="none"/>
                <w:lang w:val="en-US" w:eastAsia="zh-CN"/>
              </w:rPr>
              <w:t>1</w:t>
            </w:r>
            <w:r>
              <w:rPr>
                <w:rFonts w:hint="eastAsia" w:asciiTheme="minorEastAsia" w:hAnsiTheme="minorEastAsia" w:eastAsiaTheme="minorEastAsia" w:cstheme="minorEastAsia"/>
                <w:spacing w:val="-1"/>
                <w:sz w:val="28"/>
                <w:szCs w:val="28"/>
                <w:highlight w:val="none"/>
              </w:rPr>
              <w:t>:</w:t>
            </w:r>
            <w:r>
              <w:rPr>
                <w:rFonts w:hint="eastAsia" w:asciiTheme="minorEastAsia" w:hAnsiTheme="minorEastAsia" w:eastAsiaTheme="minorEastAsia" w:cstheme="minorEastAsia"/>
                <w:spacing w:val="-1"/>
                <w:sz w:val="28"/>
                <w:szCs w:val="28"/>
                <w:highlight w:val="none"/>
                <w:lang w:val="en-US" w:eastAsia="zh-CN"/>
              </w:rPr>
              <w:t>0</w:t>
            </w:r>
            <w:r>
              <w:rPr>
                <w:rFonts w:hint="eastAsia" w:asciiTheme="minorEastAsia" w:hAnsiTheme="minorEastAsia" w:eastAsiaTheme="minorEastAsia" w:cstheme="minorEastAsia"/>
                <w:spacing w:val="-1"/>
                <w:sz w:val="28"/>
                <w:szCs w:val="28"/>
                <w:highlight w:val="none"/>
              </w:rPr>
              <w:t>0</w:t>
            </w:r>
            <w:r>
              <w:rPr>
                <w:rFonts w:hint="eastAsia" w:asciiTheme="minorEastAsia" w:hAnsiTheme="minorEastAsia" w:eastAsiaTheme="minorEastAsia" w:cstheme="minorEastAsia"/>
                <w:spacing w:val="-1"/>
                <w:sz w:val="28"/>
                <w:szCs w:val="28"/>
                <w:highlight w:val="none"/>
                <w:lang w:val="en-US" w:eastAsia="zh-CN"/>
              </w:rPr>
              <w:t>时在克拉玛依公共资源电子交易系统</w:t>
            </w:r>
            <w:r>
              <w:rPr>
                <w:rFonts w:hint="eastAsia" w:asciiTheme="minorEastAsia" w:hAnsiTheme="minorEastAsia" w:eastAsiaTheme="minorEastAsia" w:cstheme="minorEastAsia"/>
                <w:sz w:val="28"/>
                <w:szCs w:val="28"/>
                <w:highlight w:val="none"/>
                <w:lang w:val="en-US" w:eastAsia="zh-CN"/>
              </w:rPr>
              <w:t>开标</w:t>
            </w:r>
            <w:r>
              <w:rPr>
                <w:rFonts w:hint="eastAsia" w:asciiTheme="minorEastAsia" w:hAnsiTheme="minorEastAsia" w:eastAsiaTheme="minorEastAsia" w:cstheme="minorEastAsia"/>
                <w:sz w:val="28"/>
                <w:szCs w:val="28"/>
                <w:highlight w:val="none"/>
              </w:rPr>
              <w:t>，在招标文件规定的递交投标文件截止时间止，</w:t>
            </w:r>
            <w:r>
              <w:rPr>
                <w:rFonts w:hint="eastAsia" w:asciiTheme="minorEastAsia" w:hAnsiTheme="minorEastAsia" w:eastAsiaTheme="minorEastAsia" w:cstheme="minorEastAsia"/>
                <w:sz w:val="28"/>
                <w:szCs w:val="28"/>
                <w:highlight w:val="none"/>
                <w:lang w:val="en-US" w:eastAsia="zh-CN"/>
              </w:rPr>
              <w:t>恒垣建设集团有限公司、中城易通建设发展有限公司、福建省雨林居建设有限公司、福建闽九建设工程有限公司、新疆中城环宇建设工程有限公司、新疆万屿建设工程有限公司、新疆展鑫建设工程有限公司、福建荣腾市政园林有限公司、中科国业（北京）建设集团有限公司、盛景山河建设集团有限责任公司、新疆川腾建筑工程有限公司、河南美肯建设工程有限公司、新疆宏卓建筑安装工程有限</w:t>
            </w:r>
            <w:bookmarkStart w:id="2" w:name="_GoBack"/>
            <w:bookmarkEnd w:id="2"/>
            <w:r>
              <w:rPr>
                <w:rFonts w:hint="eastAsia" w:asciiTheme="minorEastAsia" w:hAnsiTheme="minorEastAsia" w:eastAsiaTheme="minorEastAsia" w:cstheme="minorEastAsia"/>
                <w:sz w:val="28"/>
                <w:szCs w:val="28"/>
                <w:highlight w:val="none"/>
                <w:lang w:val="en-US" w:eastAsia="zh-CN"/>
              </w:rPr>
              <w:t>公司、新疆鼎涛建设工程有限公司、新疆融汇市政工程有限责任公司、新疆快捷建安装饰工程有限公司、皓泰工程建设集团有限公司、新疆呼图壁华翼市政有限公司、永升建设集团有限公司、克拉玛依市独山子区城市建设开发有限责任公司</w:t>
            </w: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lang w:val="en-US" w:eastAsia="zh-CN"/>
              </w:rPr>
              <w:t>共20</w:t>
            </w:r>
            <w:r>
              <w:rPr>
                <w:rFonts w:hint="eastAsia" w:asciiTheme="minorEastAsia" w:hAnsiTheme="minorEastAsia" w:eastAsiaTheme="minorEastAsia" w:cstheme="minorEastAsia"/>
                <w:spacing w:val="-2"/>
                <w:sz w:val="28"/>
                <w:szCs w:val="28"/>
                <w:highlight w:val="none"/>
              </w:rPr>
              <w:t>家投标单位按规定时间递交加</w:t>
            </w:r>
            <w:r>
              <w:rPr>
                <w:rFonts w:hint="eastAsia" w:asciiTheme="minorEastAsia" w:hAnsiTheme="minorEastAsia" w:eastAsiaTheme="minorEastAsia" w:cstheme="minorEastAsia"/>
                <w:spacing w:val="13"/>
                <w:sz w:val="28"/>
                <w:szCs w:val="28"/>
                <w:highlight w:val="none"/>
              </w:rPr>
              <w:t>密电子投标文件；</w:t>
            </w:r>
          </w:p>
          <w:p w14:paraId="71676C2D">
            <w:pPr>
              <w:pStyle w:val="17"/>
              <w:keepNext w:val="0"/>
              <w:keepLines/>
              <w:pageBreakBefore w:val="0"/>
              <w:widowControl w:val="0"/>
              <w:kinsoku/>
              <w:wordWrap w:val="0"/>
              <w:overflowPunct/>
              <w:topLinePunct w:val="0"/>
              <w:autoSpaceDE w:val="0"/>
              <w:autoSpaceDN w:val="0"/>
              <w:bidi w:val="0"/>
              <w:adjustRightInd w:val="0"/>
              <w:snapToGrid w:val="0"/>
              <w:spacing w:before="129" w:line="440" w:lineRule="exact"/>
              <w:ind w:left="105" w:right="90"/>
              <w:textAlignment w:val="baseline"/>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1"/>
                <w:sz w:val="28"/>
                <w:szCs w:val="28"/>
                <w:highlight w:val="none"/>
              </w:rPr>
              <w:t>3、招标代理机构工作人员在“克拉玛依市公共资源交易网“不</w:t>
            </w:r>
            <w:r>
              <w:rPr>
                <w:rFonts w:hint="eastAsia" w:asciiTheme="minorEastAsia" w:hAnsiTheme="minorEastAsia" w:eastAsiaTheme="minorEastAsia" w:cstheme="minorEastAsia"/>
                <w:sz w:val="28"/>
                <w:szCs w:val="28"/>
                <w:highlight w:val="none"/>
              </w:rPr>
              <w:t>见面”交易大厅触发“开始解密”功能后由</w:t>
            </w:r>
            <w:r>
              <w:rPr>
                <w:rFonts w:hint="eastAsia" w:asciiTheme="minorEastAsia" w:hAnsiTheme="minorEastAsia" w:eastAsiaTheme="minorEastAsia" w:cstheme="minorEastAsia"/>
                <w:spacing w:val="3"/>
                <w:sz w:val="28"/>
                <w:szCs w:val="28"/>
                <w:highlight w:val="none"/>
              </w:rPr>
              <w:t>各投标</w:t>
            </w:r>
            <w:r>
              <w:rPr>
                <w:rFonts w:hint="eastAsia" w:asciiTheme="minorEastAsia" w:hAnsiTheme="minorEastAsia" w:eastAsiaTheme="minorEastAsia" w:cstheme="minorEastAsia"/>
                <w:spacing w:val="3"/>
                <w:sz w:val="28"/>
                <w:szCs w:val="28"/>
              </w:rPr>
              <w:t>单位对自家投标文件进行解</w:t>
            </w:r>
            <w:r>
              <w:rPr>
                <w:rFonts w:hint="eastAsia" w:asciiTheme="minorEastAsia" w:hAnsiTheme="minorEastAsia" w:eastAsiaTheme="minorEastAsia" w:cstheme="minorEastAsia"/>
                <w:spacing w:val="3"/>
                <w:sz w:val="28"/>
                <w:szCs w:val="28"/>
                <w:highlight w:val="none"/>
              </w:rPr>
              <w:t>密，</w:t>
            </w:r>
            <w:r>
              <w:rPr>
                <w:rFonts w:hint="eastAsia" w:asciiTheme="minorEastAsia" w:hAnsiTheme="minorEastAsia" w:eastAsiaTheme="minorEastAsia" w:cstheme="minorEastAsia"/>
                <w:spacing w:val="3"/>
                <w:sz w:val="28"/>
                <w:szCs w:val="28"/>
                <w:highlight w:val="none"/>
                <w:lang w:val="en-US" w:eastAsia="zh-CN"/>
              </w:rPr>
              <w:t>新疆展鑫建设工程有限公司未在规定时间内解密成功，</w:t>
            </w:r>
            <w:r>
              <w:rPr>
                <w:rFonts w:hint="eastAsia" w:asciiTheme="minorEastAsia" w:hAnsiTheme="minorEastAsia" w:eastAsiaTheme="minorEastAsia" w:cstheme="minorEastAsia"/>
                <w:spacing w:val="3"/>
                <w:sz w:val="28"/>
                <w:szCs w:val="28"/>
                <w:highlight w:val="none"/>
              </w:rPr>
              <w:t>最终</w:t>
            </w:r>
            <w:r>
              <w:rPr>
                <w:rFonts w:hint="eastAsia" w:asciiTheme="minorEastAsia" w:hAnsiTheme="minorEastAsia" w:eastAsiaTheme="minorEastAsia" w:cstheme="minorEastAsia"/>
                <w:spacing w:val="3"/>
                <w:sz w:val="28"/>
                <w:szCs w:val="28"/>
                <w:highlight w:val="none"/>
                <w:lang w:val="en-US" w:eastAsia="zh-CN"/>
              </w:rPr>
              <w:t>剩余19</w:t>
            </w:r>
            <w:r>
              <w:rPr>
                <w:rFonts w:hint="eastAsia" w:asciiTheme="minorEastAsia" w:hAnsiTheme="minorEastAsia" w:eastAsiaTheme="minorEastAsia" w:cstheme="minorEastAsia"/>
                <w:spacing w:val="3"/>
                <w:sz w:val="28"/>
                <w:szCs w:val="28"/>
                <w:highlight w:val="none"/>
              </w:rPr>
              <w:t>位投</w:t>
            </w:r>
            <w:r>
              <w:rPr>
                <w:rFonts w:hint="eastAsia" w:asciiTheme="minorEastAsia" w:hAnsiTheme="minorEastAsia" w:eastAsiaTheme="minorEastAsia" w:cstheme="minorEastAsia"/>
                <w:spacing w:val="3"/>
                <w:sz w:val="28"/>
                <w:szCs w:val="28"/>
              </w:rPr>
              <w:t>标人的投标文件均解</w:t>
            </w:r>
            <w:r>
              <w:rPr>
                <w:rFonts w:hint="eastAsia" w:asciiTheme="minorEastAsia" w:hAnsiTheme="minorEastAsia" w:eastAsiaTheme="minorEastAsia" w:cstheme="minorEastAsia"/>
                <w:spacing w:val="2"/>
                <w:sz w:val="28"/>
                <w:szCs w:val="28"/>
              </w:rPr>
              <w:t>密成功</w:t>
            </w:r>
            <w:r>
              <w:rPr>
                <w:rFonts w:hint="eastAsia" w:asciiTheme="minorEastAsia" w:hAnsiTheme="minorEastAsia" w:eastAsiaTheme="minorEastAsia" w:cstheme="minorEastAsia"/>
                <w:spacing w:val="2"/>
                <w:sz w:val="28"/>
                <w:szCs w:val="28"/>
                <w:lang w:val="en-US" w:eastAsia="zh-CN"/>
              </w:rPr>
              <w:t>进入下一环节</w:t>
            </w:r>
            <w:r>
              <w:rPr>
                <w:rFonts w:hint="eastAsia" w:asciiTheme="minorEastAsia" w:hAnsiTheme="minorEastAsia" w:eastAsiaTheme="minorEastAsia" w:cstheme="minorEastAsia"/>
                <w:spacing w:val="2"/>
                <w:sz w:val="28"/>
                <w:szCs w:val="28"/>
              </w:rPr>
              <w:t>；</w:t>
            </w:r>
          </w:p>
          <w:p w14:paraId="39545B5F">
            <w:pPr>
              <w:pStyle w:val="17"/>
              <w:keepNext w:val="0"/>
              <w:keepLines/>
              <w:pageBreakBefore w:val="0"/>
              <w:widowControl w:val="0"/>
              <w:kinsoku/>
              <w:wordWrap w:val="0"/>
              <w:overflowPunct/>
              <w:topLinePunct w:val="0"/>
              <w:autoSpaceDE w:val="0"/>
              <w:autoSpaceDN w:val="0"/>
              <w:bidi w:val="0"/>
              <w:adjustRightInd w:val="0"/>
              <w:snapToGrid w:val="0"/>
              <w:spacing w:before="121" w:line="440" w:lineRule="exact"/>
              <w:ind w:left="105"/>
              <w:textAlignment w:val="baseline"/>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3"/>
                <w:sz w:val="28"/>
                <w:szCs w:val="28"/>
              </w:rPr>
              <w:t>4、进入唱标阶段，由工作人员进行唱标，</w:t>
            </w:r>
            <w:r>
              <w:rPr>
                <w:rFonts w:hint="eastAsia" w:asciiTheme="minorEastAsia" w:hAnsiTheme="minorEastAsia" w:eastAsiaTheme="minorEastAsia" w:cstheme="minorEastAsia"/>
                <w:spacing w:val="2"/>
                <w:sz w:val="28"/>
                <w:szCs w:val="28"/>
              </w:rPr>
              <w:t>唱标完毕后，各投标单位对唱标内容均无异议；</w:t>
            </w:r>
          </w:p>
          <w:p w14:paraId="0A1549D0">
            <w:pPr>
              <w:pStyle w:val="17"/>
              <w:keepNext w:val="0"/>
              <w:keepLines/>
              <w:pageBreakBefore w:val="0"/>
              <w:widowControl w:val="0"/>
              <w:kinsoku/>
              <w:wordWrap w:val="0"/>
              <w:overflowPunct/>
              <w:topLinePunct w:val="0"/>
              <w:autoSpaceDE w:val="0"/>
              <w:autoSpaceDN w:val="0"/>
              <w:bidi w:val="0"/>
              <w:adjustRightInd w:val="0"/>
              <w:snapToGrid w:val="0"/>
              <w:spacing w:before="131" w:line="440" w:lineRule="exact"/>
              <w:ind w:left="105"/>
              <w:textAlignment w:val="baseline"/>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5、开标结束。</w:t>
            </w:r>
          </w:p>
          <w:p w14:paraId="73C40D92">
            <w:pPr>
              <w:pStyle w:val="17"/>
              <w:keepNext w:val="0"/>
              <w:keepLines/>
              <w:pageBreakBefore w:val="0"/>
              <w:widowControl w:val="0"/>
              <w:kinsoku/>
              <w:wordWrap w:val="0"/>
              <w:overflowPunct/>
              <w:topLinePunct w:val="0"/>
              <w:autoSpaceDE w:val="0"/>
              <w:autoSpaceDN w:val="0"/>
              <w:bidi w:val="0"/>
              <w:adjustRightInd w:val="0"/>
              <w:snapToGrid w:val="0"/>
              <w:spacing w:before="96" w:line="440" w:lineRule="exact"/>
              <w:ind w:left="108"/>
              <w:textAlignment w:val="baseline"/>
              <w:rPr>
                <w:rFonts w:hint="eastAsia" w:ascii="宋体" w:hAnsi="宋体" w:eastAsia="宋体" w:cs="宋体"/>
                <w:sz w:val="28"/>
                <w:szCs w:val="28"/>
              </w:rPr>
            </w:pPr>
            <w:r>
              <w:rPr>
                <w:rFonts w:hint="eastAsia" w:ascii="宋体" w:hAnsi="宋体" w:eastAsia="宋体" w:cs="宋体"/>
                <w:b/>
                <w:bCs/>
                <w:spacing w:val="-5"/>
                <w:sz w:val="28"/>
                <w:szCs w:val="28"/>
              </w:rPr>
              <w:t>二、标前会</w:t>
            </w:r>
          </w:p>
          <w:p w14:paraId="646B9CEB">
            <w:pPr>
              <w:pStyle w:val="17"/>
              <w:keepNext w:val="0"/>
              <w:keepLines/>
              <w:pageBreakBefore w:val="0"/>
              <w:widowControl w:val="0"/>
              <w:kinsoku/>
              <w:wordWrap w:val="0"/>
              <w:overflowPunct/>
              <w:topLinePunct w:val="0"/>
              <w:autoSpaceDE w:val="0"/>
              <w:autoSpaceDN w:val="0"/>
              <w:bidi w:val="0"/>
              <w:adjustRightInd w:val="0"/>
              <w:snapToGrid w:val="0"/>
              <w:spacing w:before="153" w:line="440" w:lineRule="exact"/>
              <w:ind w:left="105"/>
              <w:textAlignment w:val="baseline"/>
              <w:rPr>
                <w:rFonts w:hint="eastAsia" w:ascii="宋体" w:hAnsi="宋体" w:eastAsia="宋体" w:cs="宋体"/>
                <w:sz w:val="28"/>
                <w:szCs w:val="28"/>
              </w:rPr>
            </w:pPr>
            <w:r>
              <w:rPr>
                <w:rFonts w:hint="eastAsia" w:ascii="宋体" w:hAnsi="宋体" w:eastAsia="宋体" w:cs="宋体"/>
                <w:spacing w:val="3"/>
                <w:sz w:val="28"/>
                <w:szCs w:val="28"/>
              </w:rPr>
              <w:t>1、招标代理工作人员同步评委基本信息，各位评委在</w:t>
            </w:r>
            <w:r>
              <w:rPr>
                <w:rFonts w:hint="eastAsia" w:cs="宋体"/>
                <w:spacing w:val="3"/>
                <w:sz w:val="28"/>
                <w:szCs w:val="28"/>
                <w:lang w:val="en-US" w:eastAsia="zh-CN"/>
              </w:rPr>
              <w:t>系统</w:t>
            </w:r>
            <w:r>
              <w:rPr>
                <w:rFonts w:hint="eastAsia" w:ascii="宋体" w:hAnsi="宋体" w:eastAsia="宋体" w:cs="宋体"/>
                <w:spacing w:val="3"/>
                <w:sz w:val="28"/>
                <w:szCs w:val="28"/>
              </w:rPr>
              <w:t>签到；</w:t>
            </w:r>
          </w:p>
          <w:p w14:paraId="074DCDA7">
            <w:pPr>
              <w:pStyle w:val="17"/>
              <w:keepNext w:val="0"/>
              <w:keepLines/>
              <w:pageBreakBefore w:val="0"/>
              <w:widowControl w:val="0"/>
              <w:kinsoku/>
              <w:wordWrap w:val="0"/>
              <w:overflowPunct/>
              <w:topLinePunct w:val="0"/>
              <w:autoSpaceDE w:val="0"/>
              <w:autoSpaceDN w:val="0"/>
              <w:bidi w:val="0"/>
              <w:adjustRightInd w:val="0"/>
              <w:snapToGrid w:val="0"/>
              <w:spacing w:before="126" w:line="440" w:lineRule="exact"/>
              <w:ind w:left="105" w:right="130"/>
              <w:textAlignment w:val="baseline"/>
              <w:rPr>
                <w:rFonts w:hint="eastAsia" w:ascii="宋体" w:hAnsi="宋体" w:eastAsia="宋体" w:cs="宋体"/>
                <w:sz w:val="28"/>
                <w:szCs w:val="28"/>
              </w:rPr>
            </w:pPr>
            <w:r>
              <w:rPr>
                <w:rFonts w:hint="eastAsia" w:ascii="宋体" w:hAnsi="宋体" w:eastAsia="宋体" w:cs="宋体"/>
                <w:sz w:val="28"/>
                <w:szCs w:val="28"/>
              </w:rPr>
              <w:t>2、评标委员会成员在评标系统中自行推选评标委员会组长。</w:t>
            </w:r>
          </w:p>
          <w:p w14:paraId="39B60ABF">
            <w:pPr>
              <w:pStyle w:val="17"/>
              <w:keepNext w:val="0"/>
              <w:keepLines/>
              <w:pageBreakBefore w:val="0"/>
              <w:widowControl w:val="0"/>
              <w:kinsoku w:val="0"/>
              <w:wordWrap/>
              <w:overflowPunct/>
              <w:topLinePunct w:val="0"/>
              <w:autoSpaceDE w:val="0"/>
              <w:autoSpaceDN w:val="0"/>
              <w:bidi w:val="0"/>
              <w:adjustRightInd w:val="0"/>
              <w:snapToGrid w:val="0"/>
              <w:spacing w:before="131" w:line="440" w:lineRule="exact"/>
              <w:ind w:left="105"/>
              <w:textAlignment w:val="baseline"/>
              <w:rPr>
                <w:rFonts w:hint="eastAsia" w:ascii="宋体" w:hAnsi="宋体" w:eastAsia="宋体" w:cs="宋体"/>
                <w:sz w:val="28"/>
                <w:szCs w:val="28"/>
              </w:rPr>
            </w:pPr>
            <w:r>
              <w:rPr>
                <w:rFonts w:hint="eastAsia" w:ascii="宋体" w:hAnsi="宋体" w:eastAsia="宋体" w:cs="宋体"/>
                <w:sz w:val="28"/>
                <w:szCs w:val="28"/>
              </w:rPr>
              <w:t>3、本次招标现场监督是克拉玛依市独山子区住建局招标投标管理办公室；本次评标委员会共</w:t>
            </w:r>
            <w:r>
              <w:rPr>
                <w:rFonts w:hint="eastAsia" w:cs="宋体"/>
                <w:sz w:val="28"/>
                <w:szCs w:val="28"/>
                <w:lang w:val="en-US" w:eastAsia="zh-CN"/>
              </w:rPr>
              <w:t>5</w:t>
            </w:r>
            <w:r>
              <w:rPr>
                <w:rFonts w:hint="eastAsia" w:ascii="宋体" w:hAnsi="宋体" w:eastAsia="宋体" w:cs="宋体"/>
                <w:sz w:val="28"/>
                <w:szCs w:val="28"/>
              </w:rPr>
              <w:t>人组成，经济</w:t>
            </w:r>
            <w:r>
              <w:rPr>
                <w:rFonts w:hint="eastAsia" w:cs="宋体"/>
                <w:sz w:val="28"/>
                <w:szCs w:val="28"/>
                <w:lang w:eastAsia="zh-CN"/>
              </w:rPr>
              <w:t>、</w:t>
            </w:r>
            <w:r>
              <w:rPr>
                <w:rFonts w:hint="eastAsia" w:ascii="宋体" w:hAnsi="宋体" w:eastAsia="宋体" w:cs="宋体"/>
                <w:sz w:val="28"/>
                <w:szCs w:val="28"/>
              </w:rPr>
              <w:t>技术类专家5人。</w:t>
            </w:r>
          </w:p>
          <w:p w14:paraId="156D774B">
            <w:pPr>
              <w:pStyle w:val="17"/>
              <w:keepNext w:val="0"/>
              <w:keepLines/>
              <w:pageBreakBefore w:val="0"/>
              <w:widowControl w:val="0"/>
              <w:kinsoku w:val="0"/>
              <w:wordWrap/>
              <w:overflowPunct/>
              <w:topLinePunct w:val="0"/>
              <w:autoSpaceDE w:val="0"/>
              <w:autoSpaceDN w:val="0"/>
              <w:bidi w:val="0"/>
              <w:adjustRightInd w:val="0"/>
              <w:snapToGrid w:val="0"/>
              <w:spacing w:before="120" w:line="440" w:lineRule="exact"/>
              <w:ind w:left="108"/>
              <w:textAlignment w:val="baseline"/>
              <w:rPr>
                <w:rFonts w:hint="eastAsia" w:ascii="宋体" w:hAnsi="宋体" w:eastAsia="宋体" w:cs="宋体"/>
                <w:sz w:val="28"/>
                <w:szCs w:val="28"/>
              </w:rPr>
            </w:pPr>
            <w:r>
              <w:rPr>
                <w:rFonts w:hint="eastAsia" w:ascii="宋体" w:hAnsi="宋体" w:eastAsia="宋体" w:cs="宋体"/>
                <w:b/>
                <w:bCs/>
                <w:spacing w:val="-4"/>
                <w:sz w:val="28"/>
                <w:szCs w:val="28"/>
              </w:rPr>
              <w:t>三、电子评标</w:t>
            </w:r>
          </w:p>
          <w:p w14:paraId="4C2E87AC">
            <w:pPr>
              <w:pStyle w:val="17"/>
              <w:keepNext w:val="0"/>
              <w:keepLines/>
              <w:pageBreakBefore w:val="0"/>
              <w:widowControl w:val="0"/>
              <w:kinsoku w:val="0"/>
              <w:wordWrap/>
              <w:overflowPunct/>
              <w:topLinePunct w:val="0"/>
              <w:autoSpaceDE w:val="0"/>
              <w:autoSpaceDN w:val="0"/>
              <w:bidi w:val="0"/>
              <w:adjustRightInd w:val="0"/>
              <w:snapToGrid w:val="0"/>
              <w:spacing w:before="122" w:line="440" w:lineRule="exact"/>
              <w:ind w:left="105"/>
              <w:textAlignment w:val="baseline"/>
              <w:rPr>
                <w:rFonts w:hint="eastAsia" w:ascii="宋体" w:hAnsi="宋体" w:eastAsia="宋体" w:cs="宋体"/>
                <w:spacing w:val="3"/>
                <w:sz w:val="28"/>
                <w:szCs w:val="28"/>
                <w:highlight w:val="none"/>
                <w:lang w:val="en-US" w:eastAsia="zh-CN"/>
              </w:rPr>
            </w:pPr>
            <w:r>
              <w:rPr>
                <w:rFonts w:hint="eastAsia" w:ascii="宋体" w:hAnsi="宋体" w:eastAsia="宋体" w:cs="宋体"/>
                <w:spacing w:val="3"/>
                <w:sz w:val="28"/>
                <w:szCs w:val="28"/>
                <w:highlight w:val="none"/>
              </w:rPr>
              <w:t>1、</w:t>
            </w:r>
            <w:r>
              <w:rPr>
                <w:rFonts w:hint="eastAsia" w:ascii="宋体" w:hAnsi="宋体" w:eastAsia="宋体" w:cs="宋体"/>
                <w:spacing w:val="3"/>
                <w:sz w:val="28"/>
                <w:szCs w:val="28"/>
                <w:highlight w:val="none"/>
                <w:lang w:val="en-US" w:eastAsia="zh-CN"/>
              </w:rPr>
              <w:t>评标开始，本次开标共分为</w:t>
            </w:r>
            <w:r>
              <w:rPr>
                <w:rFonts w:hint="eastAsia" w:cs="宋体"/>
                <w:spacing w:val="3"/>
                <w:sz w:val="28"/>
                <w:szCs w:val="28"/>
                <w:highlight w:val="none"/>
                <w:lang w:val="en-US" w:eastAsia="zh-CN"/>
              </w:rPr>
              <w:t>四</w:t>
            </w:r>
            <w:r>
              <w:rPr>
                <w:rFonts w:hint="eastAsia" w:ascii="宋体" w:hAnsi="宋体" w:eastAsia="宋体" w:cs="宋体"/>
                <w:spacing w:val="3"/>
                <w:sz w:val="28"/>
                <w:szCs w:val="28"/>
                <w:highlight w:val="none"/>
                <w:lang w:val="en-US" w:eastAsia="zh-CN"/>
              </w:rPr>
              <w:t xml:space="preserve">个阶段，（1）初步评审（2）详细评审 </w:t>
            </w:r>
          </w:p>
          <w:p w14:paraId="5C7677C4">
            <w:pPr>
              <w:pStyle w:val="17"/>
              <w:keepNext w:val="0"/>
              <w:keepLines/>
              <w:pageBreakBefore w:val="0"/>
              <w:widowControl w:val="0"/>
              <w:kinsoku w:val="0"/>
              <w:wordWrap/>
              <w:overflowPunct/>
              <w:topLinePunct w:val="0"/>
              <w:autoSpaceDE w:val="0"/>
              <w:autoSpaceDN w:val="0"/>
              <w:bidi w:val="0"/>
              <w:adjustRightInd w:val="0"/>
              <w:snapToGrid w:val="0"/>
              <w:spacing w:before="122" w:line="440" w:lineRule="exact"/>
              <w:ind w:left="105"/>
              <w:textAlignment w:val="baseline"/>
              <w:rPr>
                <w:rFonts w:hint="eastAsia" w:ascii="宋体" w:hAnsi="宋体" w:eastAsia="宋体" w:cs="宋体"/>
                <w:spacing w:val="3"/>
                <w:sz w:val="28"/>
                <w:szCs w:val="28"/>
                <w:highlight w:val="none"/>
                <w:lang w:val="en-US" w:eastAsia="zh-CN"/>
              </w:rPr>
            </w:pPr>
            <w:r>
              <w:rPr>
                <w:rFonts w:hint="eastAsia" w:ascii="宋体" w:hAnsi="宋体" w:eastAsia="宋体" w:cs="宋体"/>
                <w:spacing w:val="3"/>
                <w:sz w:val="28"/>
                <w:szCs w:val="28"/>
                <w:highlight w:val="none"/>
                <w:lang w:val="en-US" w:eastAsia="zh-CN"/>
              </w:rPr>
              <w:t>（3）技术标评审标准（4）确定投标报价有效范围</w:t>
            </w:r>
          </w:p>
          <w:p w14:paraId="2EFB644D">
            <w:pPr>
              <w:pStyle w:val="17"/>
              <w:keepNext w:val="0"/>
              <w:keepLines/>
              <w:pageBreakBefore w:val="0"/>
              <w:widowControl w:val="0"/>
              <w:kinsoku w:val="0"/>
              <w:wordWrap/>
              <w:overflowPunct/>
              <w:topLinePunct w:val="0"/>
              <w:autoSpaceDE w:val="0"/>
              <w:autoSpaceDN w:val="0"/>
              <w:bidi w:val="0"/>
              <w:adjustRightInd w:val="0"/>
              <w:snapToGrid w:val="0"/>
              <w:spacing w:before="131" w:line="440" w:lineRule="exact"/>
              <w:ind w:left="105"/>
              <w:textAlignment w:val="baseline"/>
              <w:rPr>
                <w:rFonts w:hint="eastAsia" w:ascii="宋体" w:hAnsi="宋体" w:eastAsia="宋体" w:cs="宋体"/>
                <w:sz w:val="28"/>
                <w:szCs w:val="28"/>
                <w:highlight w:val="none"/>
              </w:rPr>
            </w:pPr>
            <w:r>
              <w:rPr>
                <w:rFonts w:hint="eastAsia" w:ascii="宋体" w:hAnsi="宋体" w:eastAsia="宋体" w:cs="宋体"/>
                <w:sz w:val="28"/>
                <w:szCs w:val="28"/>
                <w:lang w:val="en-US" w:eastAsia="zh-CN"/>
              </w:rPr>
              <w:t>2、</w:t>
            </w:r>
            <w:r>
              <w:rPr>
                <w:rFonts w:hint="eastAsia" w:ascii="宋体" w:hAnsi="宋体" w:eastAsia="宋体" w:cs="宋体"/>
                <w:sz w:val="28"/>
                <w:szCs w:val="28"/>
              </w:rPr>
              <w:t>首先进行初步评审，新疆鼎涛建设工程有限公司</w:t>
            </w:r>
            <w:r>
              <w:rPr>
                <w:rFonts w:hint="eastAsia" w:ascii="宋体" w:hAnsi="宋体" w:eastAsia="宋体" w:cs="宋体"/>
                <w:sz w:val="28"/>
                <w:szCs w:val="28"/>
                <w:lang w:eastAsia="zh-CN"/>
              </w:rPr>
              <w:t>在克拉玛依公共资源电子交易系统下载招标文件时所报的项目负责人与投标时所报的项目负责人不一致</w:t>
            </w:r>
            <w:r>
              <w:rPr>
                <w:rFonts w:hint="eastAsia" w:cs="宋体"/>
                <w:sz w:val="28"/>
                <w:szCs w:val="28"/>
                <w:lang w:val="en-US" w:eastAsia="zh-CN"/>
              </w:rPr>
              <w:t>做废</w:t>
            </w:r>
            <w:r>
              <w:rPr>
                <w:rFonts w:hint="eastAsia" w:cs="宋体"/>
                <w:sz w:val="28"/>
                <w:szCs w:val="28"/>
                <w:highlight w:val="none"/>
                <w:lang w:val="en-US" w:eastAsia="zh-CN"/>
              </w:rPr>
              <w:t>标处理，剩余18位</w:t>
            </w:r>
            <w:r>
              <w:rPr>
                <w:rFonts w:hint="eastAsia" w:ascii="宋体" w:hAnsi="宋体" w:eastAsia="宋体" w:cs="宋体"/>
                <w:sz w:val="28"/>
                <w:szCs w:val="28"/>
                <w:highlight w:val="none"/>
              </w:rPr>
              <w:t>投标单位通过初步评审均为有效投标人；</w:t>
            </w:r>
          </w:p>
          <w:p w14:paraId="3356B2FC">
            <w:pPr>
              <w:pStyle w:val="17"/>
              <w:keepNext w:val="0"/>
              <w:keepLines/>
              <w:pageBreakBefore w:val="0"/>
              <w:widowControl w:val="0"/>
              <w:kinsoku w:val="0"/>
              <w:wordWrap/>
              <w:overflowPunct/>
              <w:topLinePunct w:val="0"/>
              <w:autoSpaceDE w:val="0"/>
              <w:autoSpaceDN w:val="0"/>
              <w:bidi w:val="0"/>
              <w:adjustRightInd w:val="0"/>
              <w:snapToGrid w:val="0"/>
              <w:spacing w:before="122" w:line="440" w:lineRule="exact"/>
              <w:ind w:left="105"/>
              <w:textAlignment w:val="baseline"/>
              <w:rPr>
                <w:rFonts w:hint="default" w:ascii="宋体" w:hAnsi="宋体" w:eastAsia="宋体" w:cs="宋体"/>
                <w:spacing w:val="3"/>
                <w:sz w:val="28"/>
                <w:szCs w:val="28"/>
                <w:highlight w:val="none"/>
                <w:lang w:val="en-US" w:eastAsia="zh-CN"/>
              </w:rPr>
            </w:pPr>
            <w:r>
              <w:rPr>
                <w:rFonts w:hint="eastAsia" w:cs="宋体"/>
                <w:spacing w:val="3"/>
                <w:sz w:val="28"/>
                <w:szCs w:val="28"/>
                <w:highlight w:val="none"/>
                <w:lang w:val="en-US" w:eastAsia="zh-CN"/>
              </w:rPr>
              <w:t>3、进入</w:t>
            </w:r>
            <w:r>
              <w:rPr>
                <w:rFonts w:hint="eastAsia" w:ascii="宋体" w:hAnsi="宋体" w:cs="宋体"/>
                <w:color w:val="000000"/>
                <w:sz w:val="28"/>
                <w:szCs w:val="28"/>
                <w:highlight w:val="none"/>
              </w:rPr>
              <w:t>详细评审</w:t>
            </w:r>
            <w:r>
              <w:rPr>
                <w:rFonts w:hint="eastAsia" w:ascii="宋体" w:hAnsi="宋体" w:eastAsia="宋体" w:cs="宋体"/>
                <w:spacing w:val="3"/>
                <w:sz w:val="28"/>
                <w:szCs w:val="28"/>
                <w:highlight w:val="none"/>
              </w:rPr>
              <w:t>，各投标单位通过</w:t>
            </w:r>
            <w:r>
              <w:rPr>
                <w:rFonts w:hint="eastAsia" w:ascii="宋体" w:hAnsi="宋体" w:cs="宋体"/>
                <w:color w:val="000000"/>
                <w:sz w:val="28"/>
                <w:szCs w:val="28"/>
                <w:highlight w:val="none"/>
              </w:rPr>
              <w:t>详细评审</w:t>
            </w:r>
            <w:r>
              <w:rPr>
                <w:rFonts w:hint="eastAsia" w:ascii="宋体" w:hAnsi="宋体" w:eastAsia="宋体" w:cs="宋体"/>
                <w:spacing w:val="3"/>
                <w:sz w:val="28"/>
                <w:szCs w:val="28"/>
                <w:highlight w:val="none"/>
              </w:rPr>
              <w:t>的评审均为有效投标人；</w:t>
            </w:r>
          </w:p>
          <w:p w14:paraId="5613C4F1">
            <w:pPr>
              <w:pStyle w:val="17"/>
              <w:keepNext w:val="0"/>
              <w:keepLines/>
              <w:pageBreakBefore w:val="0"/>
              <w:widowControl w:val="0"/>
              <w:kinsoku w:val="0"/>
              <w:wordWrap/>
              <w:overflowPunct/>
              <w:topLinePunct w:val="0"/>
              <w:autoSpaceDE w:val="0"/>
              <w:autoSpaceDN w:val="0"/>
              <w:bidi w:val="0"/>
              <w:adjustRightInd w:val="0"/>
              <w:snapToGrid w:val="0"/>
              <w:spacing w:before="131" w:line="440" w:lineRule="exact"/>
              <w:ind w:left="105"/>
              <w:textAlignment w:val="baseline"/>
              <w:rPr>
                <w:rFonts w:hint="eastAsia" w:ascii="宋体" w:hAnsi="宋体" w:eastAsia="宋体" w:cs="宋体"/>
                <w:sz w:val="28"/>
                <w:szCs w:val="28"/>
                <w:highlight w:val="none"/>
              </w:rPr>
            </w:pPr>
            <w:r>
              <w:rPr>
                <w:rFonts w:hint="eastAsia" w:cs="宋体"/>
                <w:spacing w:val="4"/>
                <w:sz w:val="28"/>
                <w:szCs w:val="28"/>
                <w:highlight w:val="none"/>
                <w:lang w:val="en-US" w:eastAsia="zh-CN"/>
              </w:rPr>
              <w:t>4</w:t>
            </w:r>
            <w:r>
              <w:rPr>
                <w:rFonts w:hint="eastAsia" w:ascii="宋体" w:hAnsi="宋体" w:eastAsia="宋体" w:cs="宋体"/>
                <w:spacing w:val="4"/>
                <w:sz w:val="28"/>
                <w:szCs w:val="28"/>
                <w:highlight w:val="none"/>
              </w:rPr>
              <w:t>、</w:t>
            </w:r>
            <w:r>
              <w:rPr>
                <w:rFonts w:hint="eastAsia" w:ascii="宋体" w:hAnsi="宋体" w:eastAsia="宋体" w:cs="宋体"/>
                <w:sz w:val="28"/>
                <w:szCs w:val="28"/>
                <w:highlight w:val="none"/>
              </w:rPr>
              <w:t>进入技术标</w:t>
            </w:r>
            <w:r>
              <w:rPr>
                <w:rFonts w:hint="eastAsia" w:cs="宋体"/>
                <w:sz w:val="28"/>
                <w:szCs w:val="28"/>
                <w:highlight w:val="none"/>
                <w:lang w:val="en-US" w:eastAsia="zh-CN"/>
              </w:rPr>
              <w:t>合格制</w:t>
            </w:r>
            <w:r>
              <w:rPr>
                <w:rFonts w:hint="eastAsia" w:ascii="宋体" w:hAnsi="宋体" w:eastAsia="宋体" w:cs="宋体"/>
                <w:sz w:val="28"/>
                <w:szCs w:val="28"/>
                <w:highlight w:val="none"/>
              </w:rPr>
              <w:t>评审阶段，</w:t>
            </w:r>
            <w:r>
              <w:rPr>
                <w:rFonts w:hint="eastAsia" w:ascii="宋体" w:hAnsi="宋体" w:eastAsia="宋体" w:cs="宋体"/>
                <w:spacing w:val="3"/>
                <w:sz w:val="28"/>
                <w:szCs w:val="28"/>
                <w:highlight w:val="none"/>
              </w:rPr>
              <w:t>各投标单位通过</w:t>
            </w:r>
            <w:r>
              <w:rPr>
                <w:rFonts w:hint="eastAsia" w:ascii="宋体" w:hAnsi="宋体" w:eastAsia="宋体" w:cs="宋体"/>
                <w:sz w:val="28"/>
                <w:szCs w:val="28"/>
                <w:highlight w:val="none"/>
              </w:rPr>
              <w:t>技术标</w:t>
            </w:r>
            <w:r>
              <w:rPr>
                <w:rFonts w:hint="eastAsia" w:ascii="宋体" w:hAnsi="宋体" w:cs="宋体"/>
                <w:color w:val="000000"/>
                <w:sz w:val="28"/>
                <w:szCs w:val="28"/>
                <w:highlight w:val="none"/>
              </w:rPr>
              <w:t>评审</w:t>
            </w:r>
            <w:r>
              <w:rPr>
                <w:rFonts w:hint="eastAsia" w:cs="宋体"/>
                <w:color w:val="000000"/>
                <w:sz w:val="28"/>
                <w:szCs w:val="28"/>
                <w:highlight w:val="none"/>
                <w:lang w:val="en-US" w:eastAsia="zh-CN"/>
              </w:rPr>
              <w:t>均</w:t>
            </w:r>
            <w:r>
              <w:rPr>
                <w:rFonts w:hint="eastAsia" w:ascii="宋体" w:hAnsi="宋体" w:eastAsia="宋体" w:cs="宋体"/>
                <w:spacing w:val="3"/>
                <w:sz w:val="28"/>
                <w:szCs w:val="28"/>
                <w:highlight w:val="none"/>
              </w:rPr>
              <w:t>为有效投标人；</w:t>
            </w:r>
          </w:p>
          <w:p w14:paraId="1661696C">
            <w:pPr>
              <w:pStyle w:val="17"/>
              <w:keepNext w:val="0"/>
              <w:keepLines/>
              <w:pageBreakBefore w:val="0"/>
              <w:widowControl w:val="0"/>
              <w:kinsoku w:val="0"/>
              <w:wordWrap/>
              <w:overflowPunct/>
              <w:topLinePunct w:val="0"/>
              <w:autoSpaceDE w:val="0"/>
              <w:autoSpaceDN w:val="0"/>
              <w:bidi w:val="0"/>
              <w:adjustRightInd w:val="0"/>
              <w:snapToGrid w:val="0"/>
              <w:spacing w:before="118" w:line="440" w:lineRule="exact"/>
              <w:ind w:left="105" w:right="132"/>
              <w:textAlignment w:val="baseline"/>
              <w:rPr>
                <w:rFonts w:hint="default" w:ascii="宋体" w:hAnsi="宋体" w:eastAsia="宋体" w:cs="宋体"/>
                <w:sz w:val="28"/>
                <w:szCs w:val="28"/>
                <w:highlight w:val="none"/>
                <w:lang w:val="en-US" w:eastAsia="zh-CN"/>
              </w:rPr>
            </w:pPr>
            <w:r>
              <w:rPr>
                <w:rFonts w:hint="eastAsia" w:cs="宋体"/>
                <w:sz w:val="28"/>
                <w:szCs w:val="28"/>
                <w:highlight w:val="none"/>
                <w:lang w:val="en-US" w:eastAsia="zh-CN"/>
              </w:rPr>
              <w:t>5、</w:t>
            </w:r>
            <w:r>
              <w:rPr>
                <w:rFonts w:hint="eastAsia" w:ascii="宋体" w:hAnsi="宋体" w:eastAsia="宋体" w:cs="宋体"/>
                <w:sz w:val="28"/>
                <w:szCs w:val="28"/>
                <w:highlight w:val="none"/>
              </w:rPr>
              <w:t>本项目属于</w:t>
            </w:r>
            <w:r>
              <w:rPr>
                <w:rFonts w:hint="eastAsia" w:ascii="宋体" w:hAnsi="宋体" w:eastAsia="宋体" w:cs="宋体"/>
                <w:sz w:val="28"/>
                <w:szCs w:val="28"/>
                <w:highlight w:val="none"/>
                <w:lang w:val="en-US" w:eastAsia="zh-CN"/>
              </w:rPr>
              <w:t>建筑工程</w:t>
            </w:r>
            <w:r>
              <w:rPr>
                <w:rFonts w:hint="eastAsia" w:ascii="宋体" w:hAnsi="宋体" w:eastAsia="宋体" w:cs="宋体"/>
                <w:sz w:val="28"/>
                <w:szCs w:val="28"/>
                <w:highlight w:val="none"/>
              </w:rPr>
              <w:t>。招标人在“克拉玛依不见面开标大厅”模块</w:t>
            </w:r>
            <w:r>
              <w:rPr>
                <w:rFonts w:hint="eastAsia" w:ascii="宋体" w:hAnsi="宋体" w:eastAsia="宋体" w:cs="宋体"/>
                <w:spacing w:val="-1"/>
                <w:sz w:val="28"/>
                <w:szCs w:val="28"/>
                <w:highlight w:val="none"/>
              </w:rPr>
              <w:t>，按照招标文件规定、随机抽取</w:t>
            </w:r>
            <w:r>
              <w:rPr>
                <w:rFonts w:hint="eastAsia" w:ascii="宋体" w:hAnsi="宋体" w:eastAsia="宋体" w:cs="宋体"/>
                <w:sz w:val="28"/>
                <w:szCs w:val="28"/>
                <w:highlight w:val="none"/>
              </w:rPr>
              <w:t>确定：K值为</w:t>
            </w:r>
            <w:r>
              <w:rPr>
                <w:rFonts w:hint="eastAsia" w:cs="宋体"/>
                <w:sz w:val="28"/>
                <w:szCs w:val="28"/>
                <w:highlight w:val="none"/>
                <w:lang w:val="en-US" w:eastAsia="zh-CN"/>
              </w:rPr>
              <w:t>1%</w:t>
            </w:r>
            <w:r>
              <w:rPr>
                <w:rFonts w:hint="eastAsia" w:ascii="宋体" w:hAnsi="宋体" w:eastAsia="宋体" w:cs="宋体"/>
                <w:sz w:val="28"/>
                <w:szCs w:val="28"/>
                <w:highlight w:val="none"/>
              </w:rPr>
              <w:t>、K1值为</w:t>
            </w:r>
            <w:r>
              <w:rPr>
                <w:rFonts w:hint="eastAsia" w:cs="宋体"/>
                <w:sz w:val="28"/>
                <w:szCs w:val="28"/>
                <w:highlight w:val="none"/>
                <w:lang w:val="en-US" w:eastAsia="zh-CN"/>
              </w:rPr>
              <w:t>30</w:t>
            </w:r>
            <w:r>
              <w:rPr>
                <w:rFonts w:hint="eastAsia" w:ascii="宋体" w:hAnsi="宋体" w:eastAsia="宋体" w:cs="宋体"/>
                <w:sz w:val="28"/>
                <w:szCs w:val="28"/>
                <w:highlight w:val="none"/>
              </w:rPr>
              <w:t>%、K2值为</w:t>
            </w:r>
            <w:r>
              <w:rPr>
                <w:rFonts w:hint="eastAsia" w:cs="宋体"/>
                <w:sz w:val="28"/>
                <w:szCs w:val="28"/>
                <w:highlight w:val="none"/>
                <w:lang w:val="en-US" w:eastAsia="zh-CN"/>
              </w:rPr>
              <w:t>3%。</w:t>
            </w:r>
          </w:p>
          <w:p w14:paraId="5B008468">
            <w:pPr>
              <w:pStyle w:val="17"/>
              <w:keepNext w:val="0"/>
              <w:keepLines/>
              <w:pageBreakBefore w:val="0"/>
              <w:widowControl w:val="0"/>
              <w:kinsoku w:val="0"/>
              <w:wordWrap/>
              <w:overflowPunct/>
              <w:topLinePunct w:val="0"/>
              <w:autoSpaceDE w:val="0"/>
              <w:autoSpaceDN w:val="0"/>
              <w:bidi w:val="0"/>
              <w:adjustRightInd w:val="0"/>
              <w:snapToGrid w:val="0"/>
              <w:spacing w:before="118" w:line="440" w:lineRule="exact"/>
              <w:ind w:left="105" w:right="132"/>
              <w:textAlignment w:val="baseline"/>
              <w:rPr>
                <w:rFonts w:hint="eastAsia" w:ascii="宋体" w:hAnsi="宋体" w:eastAsia="宋体" w:cs="宋体"/>
                <w:sz w:val="28"/>
                <w:szCs w:val="28"/>
                <w:highlight w:val="none"/>
              </w:rPr>
            </w:pPr>
            <w:r>
              <w:rPr>
                <w:rFonts w:hint="eastAsia" w:cs="宋体"/>
                <w:sz w:val="28"/>
                <w:szCs w:val="28"/>
                <w:highlight w:val="none"/>
                <w:lang w:val="en-US" w:eastAsia="zh-CN"/>
              </w:rPr>
              <w:t>6、</w:t>
            </w:r>
            <w:r>
              <w:rPr>
                <w:rFonts w:hint="eastAsia" w:ascii="宋体" w:hAnsi="宋体" w:eastAsia="宋体" w:cs="宋体"/>
                <w:sz w:val="28"/>
                <w:szCs w:val="28"/>
                <w:highlight w:val="none"/>
              </w:rPr>
              <w:t>经评标系统计算，本项目评标基准价确定为7658688.08元。</w:t>
            </w:r>
          </w:p>
          <w:p w14:paraId="2EDFA415">
            <w:pPr>
              <w:pStyle w:val="17"/>
              <w:spacing w:before="128" w:line="219" w:lineRule="auto"/>
              <w:ind w:left="138"/>
              <w:rPr>
                <w:rFonts w:hint="eastAsia" w:ascii="宋体" w:hAnsi="宋体" w:eastAsia="宋体" w:cs="宋体"/>
                <w:sz w:val="28"/>
                <w:szCs w:val="28"/>
                <w:highlight w:val="none"/>
              </w:rPr>
            </w:pPr>
            <w:r>
              <w:rPr>
                <w:rFonts w:hint="eastAsia" w:ascii="宋体" w:hAnsi="宋体" w:eastAsia="宋体" w:cs="宋体"/>
                <w:b/>
                <w:bCs/>
                <w:spacing w:val="-2"/>
                <w:sz w:val="28"/>
                <w:szCs w:val="28"/>
                <w:highlight w:val="none"/>
              </w:rPr>
              <w:t>四、推荐</w:t>
            </w:r>
            <w:r>
              <w:rPr>
                <w:rFonts w:hint="eastAsia" w:cs="宋体"/>
                <w:b/>
                <w:bCs/>
                <w:spacing w:val="-2"/>
                <w:sz w:val="28"/>
                <w:szCs w:val="28"/>
                <w:highlight w:val="none"/>
                <w:lang w:val="en-US" w:eastAsia="zh-CN"/>
              </w:rPr>
              <w:t>中</w:t>
            </w:r>
            <w:r>
              <w:rPr>
                <w:rFonts w:hint="eastAsia" w:ascii="宋体" w:hAnsi="宋体" w:eastAsia="宋体" w:cs="宋体"/>
                <w:b/>
                <w:bCs/>
                <w:spacing w:val="-2"/>
                <w:sz w:val="28"/>
                <w:szCs w:val="28"/>
                <w:highlight w:val="none"/>
              </w:rPr>
              <w:t>标候选人</w:t>
            </w:r>
          </w:p>
          <w:p w14:paraId="085A4687">
            <w:pPr>
              <w:pStyle w:val="17"/>
              <w:keepNext w:val="0"/>
              <w:keepLines/>
              <w:pageBreakBefore w:val="0"/>
              <w:widowControl w:val="0"/>
              <w:kinsoku w:val="0"/>
              <w:wordWrap/>
              <w:overflowPunct/>
              <w:topLinePunct w:val="0"/>
              <w:autoSpaceDE w:val="0"/>
              <w:autoSpaceDN w:val="0"/>
              <w:bidi w:val="0"/>
              <w:adjustRightInd w:val="0"/>
              <w:snapToGrid w:val="0"/>
              <w:spacing w:before="118" w:line="440" w:lineRule="exact"/>
              <w:ind w:left="105" w:right="132"/>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1、</w:t>
            </w:r>
            <w:r>
              <w:rPr>
                <w:rFonts w:hint="eastAsia" w:cs="宋体"/>
                <w:sz w:val="28"/>
                <w:szCs w:val="28"/>
                <w:highlight w:val="none"/>
                <w:lang w:val="en-US" w:eastAsia="zh-CN"/>
              </w:rPr>
              <w:t>经评标委员会依据招标文件中的评标办法规定</w:t>
            </w:r>
            <w:r>
              <w:rPr>
                <w:rFonts w:hint="eastAsia" w:ascii="宋体" w:hAnsi="宋体" w:eastAsia="宋体" w:cs="宋体"/>
                <w:sz w:val="28"/>
                <w:szCs w:val="28"/>
                <w:highlight w:val="none"/>
              </w:rPr>
              <w:t>，投标报价高于评标基准价的为有效报价。在上述有效报价范围内，按各投标人投标报价由低至高依次排序。排序前3名的投标人推荐为本项目中标候选人，招标人将按照中标候选人排序确定本项目中标人。</w:t>
            </w:r>
          </w:p>
          <w:p w14:paraId="1AB7A99E">
            <w:pPr>
              <w:pStyle w:val="17"/>
              <w:keepNext w:val="0"/>
              <w:keepLines/>
              <w:pageBreakBefore w:val="0"/>
              <w:widowControl w:val="0"/>
              <w:kinsoku w:val="0"/>
              <w:wordWrap/>
              <w:overflowPunct/>
              <w:topLinePunct w:val="0"/>
              <w:autoSpaceDE w:val="0"/>
              <w:autoSpaceDN w:val="0"/>
              <w:bidi w:val="0"/>
              <w:adjustRightInd w:val="0"/>
              <w:snapToGrid w:val="0"/>
              <w:spacing w:before="118" w:line="440" w:lineRule="exact"/>
              <w:ind w:left="105" w:right="132"/>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排名第一：皓泰工程建设集团有限公司</w:t>
            </w:r>
          </w:p>
          <w:p w14:paraId="4D3E5628">
            <w:pPr>
              <w:pStyle w:val="17"/>
              <w:keepNext w:val="0"/>
              <w:keepLines/>
              <w:pageBreakBefore w:val="0"/>
              <w:widowControl w:val="0"/>
              <w:kinsoku w:val="0"/>
              <w:wordWrap/>
              <w:overflowPunct/>
              <w:topLinePunct w:val="0"/>
              <w:autoSpaceDE w:val="0"/>
              <w:autoSpaceDN w:val="0"/>
              <w:bidi w:val="0"/>
              <w:adjustRightInd w:val="0"/>
              <w:snapToGrid w:val="0"/>
              <w:spacing w:before="118" w:line="440" w:lineRule="exact"/>
              <w:ind w:left="105" w:right="132"/>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排名第二：新疆融汇市政工程有限责任公司</w:t>
            </w:r>
          </w:p>
          <w:p w14:paraId="40BFF133">
            <w:pPr>
              <w:pStyle w:val="17"/>
              <w:keepNext w:val="0"/>
              <w:keepLines/>
              <w:pageBreakBefore w:val="0"/>
              <w:widowControl w:val="0"/>
              <w:kinsoku w:val="0"/>
              <w:wordWrap/>
              <w:overflowPunct/>
              <w:topLinePunct w:val="0"/>
              <w:autoSpaceDE w:val="0"/>
              <w:autoSpaceDN w:val="0"/>
              <w:bidi w:val="0"/>
              <w:adjustRightInd w:val="0"/>
              <w:snapToGrid w:val="0"/>
              <w:spacing w:before="118" w:line="440" w:lineRule="exact"/>
              <w:ind w:left="105" w:right="132"/>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排名第三：中城易通建设发展有限公司</w:t>
            </w:r>
          </w:p>
          <w:p w14:paraId="105327BF">
            <w:pPr>
              <w:pStyle w:val="17"/>
              <w:keepNext w:val="0"/>
              <w:keepLines/>
              <w:pageBreakBefore w:val="0"/>
              <w:widowControl w:val="0"/>
              <w:kinsoku w:val="0"/>
              <w:wordWrap/>
              <w:overflowPunct/>
              <w:topLinePunct w:val="0"/>
              <w:autoSpaceDE w:val="0"/>
              <w:autoSpaceDN w:val="0"/>
              <w:bidi w:val="0"/>
              <w:adjustRightInd w:val="0"/>
              <w:snapToGrid w:val="0"/>
              <w:spacing w:before="118" w:line="440" w:lineRule="exact"/>
              <w:ind w:left="105" w:right="132"/>
              <w:textAlignment w:val="baseline"/>
              <w:rPr>
                <w:rFonts w:hint="eastAsia" w:ascii="宋体" w:hAnsi="宋体" w:eastAsia="宋体" w:cs="宋体"/>
                <w:sz w:val="28"/>
                <w:szCs w:val="28"/>
              </w:rPr>
            </w:pPr>
            <w:r>
              <w:rPr>
                <w:rFonts w:hint="eastAsia" w:ascii="宋体" w:hAnsi="宋体" w:eastAsia="宋体" w:cs="宋体"/>
                <w:sz w:val="28"/>
                <w:szCs w:val="28"/>
                <w:highlight w:val="none"/>
              </w:rPr>
              <w:t>2、评标委员会全体成员在“评标报告”等</w:t>
            </w:r>
            <w:r>
              <w:rPr>
                <w:rFonts w:hint="eastAsia" w:cs="宋体"/>
                <w:sz w:val="28"/>
                <w:szCs w:val="28"/>
                <w:highlight w:val="none"/>
                <w:lang w:val="en-US" w:eastAsia="zh-CN"/>
              </w:rPr>
              <w:t>评审过程资料</w:t>
            </w:r>
            <w:r>
              <w:rPr>
                <w:rFonts w:hint="eastAsia" w:ascii="宋体" w:hAnsi="宋体" w:eastAsia="宋体" w:cs="宋体"/>
                <w:sz w:val="28"/>
                <w:szCs w:val="28"/>
                <w:highlight w:val="none"/>
              </w:rPr>
              <w:t>签字确认评标结果，并对评标结果负责。</w:t>
            </w:r>
          </w:p>
        </w:tc>
      </w:tr>
    </w:tbl>
    <w:p w14:paraId="72E5EC30">
      <w:pPr>
        <w:rPr>
          <w:rFonts w:hint="eastAsia" w:ascii="宋体" w:hAnsi="宋体" w:eastAsia="宋体" w:cs="宋体"/>
          <w:sz w:val="21"/>
        </w:rPr>
      </w:pPr>
    </w:p>
    <w:sectPr>
      <w:pgSz w:w="11910" w:h="16840"/>
      <w:pgMar w:top="1150" w:right="984" w:bottom="1151" w:left="964"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rsids>
    <w:rsidRoot w:val="00000000"/>
    <w:rsid w:val="03717810"/>
    <w:rsid w:val="0BBA4A99"/>
    <w:rsid w:val="0D1C1A9C"/>
    <w:rsid w:val="10E04593"/>
    <w:rsid w:val="14B0507E"/>
    <w:rsid w:val="165715DF"/>
    <w:rsid w:val="1A9D7A09"/>
    <w:rsid w:val="1CD31DF2"/>
    <w:rsid w:val="1E1753C4"/>
    <w:rsid w:val="22623FCE"/>
    <w:rsid w:val="240A0871"/>
    <w:rsid w:val="24EF5377"/>
    <w:rsid w:val="254B6F9C"/>
    <w:rsid w:val="263727CB"/>
    <w:rsid w:val="26BA69EE"/>
    <w:rsid w:val="2D243361"/>
    <w:rsid w:val="2FD55EB5"/>
    <w:rsid w:val="3083155E"/>
    <w:rsid w:val="4037219F"/>
    <w:rsid w:val="40AA64B6"/>
    <w:rsid w:val="41D41C6F"/>
    <w:rsid w:val="49296D45"/>
    <w:rsid w:val="4AFD3C08"/>
    <w:rsid w:val="505179D5"/>
    <w:rsid w:val="52CE7E30"/>
    <w:rsid w:val="56E17CF9"/>
    <w:rsid w:val="5BD32697"/>
    <w:rsid w:val="63251ED3"/>
    <w:rsid w:val="66817001"/>
    <w:rsid w:val="67B74313"/>
    <w:rsid w:val="6D763A57"/>
    <w:rsid w:val="7C613B2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character" w:styleId="4">
    <w:name w:val="Strong"/>
    <w:basedOn w:val="3"/>
    <w:qFormat/>
    <w:uiPriority w:val="0"/>
  </w:style>
  <w:style w:type="character" w:styleId="5">
    <w:name w:val="FollowedHyperlink"/>
    <w:basedOn w:val="3"/>
    <w:qFormat/>
    <w:uiPriority w:val="0"/>
    <w:rPr>
      <w:color w:val="800080"/>
      <w:u w:val="none"/>
    </w:rPr>
  </w:style>
  <w:style w:type="character" w:styleId="6">
    <w:name w:val="Emphasis"/>
    <w:basedOn w:val="3"/>
    <w:qFormat/>
    <w:uiPriority w:val="0"/>
  </w:style>
  <w:style w:type="character" w:styleId="7">
    <w:name w:val="HTML Definition"/>
    <w:basedOn w:val="3"/>
    <w:qFormat/>
    <w:uiPriority w:val="0"/>
  </w:style>
  <w:style w:type="character" w:styleId="8">
    <w:name w:val="HTML Typewriter"/>
    <w:basedOn w:val="3"/>
    <w:qFormat/>
    <w:uiPriority w:val="0"/>
    <w:rPr>
      <w:rFonts w:ascii="Courier New" w:hAnsi="Courier New"/>
      <w:b/>
      <w:bCs/>
      <w:sz w:val="20"/>
    </w:rPr>
  </w:style>
  <w:style w:type="character" w:styleId="9">
    <w:name w:val="HTML Acronym"/>
    <w:basedOn w:val="3"/>
    <w:qFormat/>
    <w:uiPriority w:val="0"/>
  </w:style>
  <w:style w:type="character" w:styleId="10">
    <w:name w:val="HTML Variable"/>
    <w:basedOn w:val="3"/>
    <w:qFormat/>
    <w:uiPriority w:val="0"/>
  </w:style>
  <w:style w:type="character" w:styleId="11">
    <w:name w:val="Hyperlink"/>
    <w:basedOn w:val="3"/>
    <w:qFormat/>
    <w:uiPriority w:val="0"/>
    <w:rPr>
      <w:color w:val="0000FF"/>
      <w:u w:val="none"/>
    </w:rPr>
  </w:style>
  <w:style w:type="character" w:styleId="12">
    <w:name w:val="HTML Code"/>
    <w:basedOn w:val="3"/>
    <w:qFormat/>
    <w:uiPriority w:val="0"/>
    <w:rPr>
      <w:rFonts w:ascii="Courier New" w:hAnsi="Courier New"/>
      <w:sz w:val="20"/>
    </w:rPr>
  </w:style>
  <w:style w:type="character" w:styleId="13">
    <w:name w:val="HTML Cite"/>
    <w:basedOn w:val="3"/>
    <w:qFormat/>
    <w:uiPriority w:val="0"/>
  </w:style>
  <w:style w:type="character" w:styleId="14">
    <w:name w:val="HTML Keyboard"/>
    <w:basedOn w:val="3"/>
    <w:qFormat/>
    <w:uiPriority w:val="0"/>
    <w:rPr>
      <w:rFonts w:ascii="Courier New" w:hAnsi="Courier New"/>
      <w:sz w:val="20"/>
    </w:rPr>
  </w:style>
  <w:style w:type="character" w:styleId="15">
    <w:name w:val="HTML Sample"/>
    <w:basedOn w:val="3"/>
    <w:qFormat/>
    <w:uiPriority w:val="0"/>
    <w:rPr>
      <w:rFonts w:ascii="Courier New" w:hAnsi="Courier New"/>
    </w:rPr>
  </w:style>
  <w:style w:type="table" w:customStyle="1" w:styleId="16">
    <w:name w:val="Table Normal"/>
    <w:semiHidden/>
    <w:unhideWhenUsed/>
    <w:qFormat/>
    <w:uiPriority w:val="0"/>
    <w:tblPr>
      <w:tblCellMar>
        <w:top w:w="0" w:type="dxa"/>
        <w:left w:w="0" w:type="dxa"/>
        <w:bottom w:w="0" w:type="dxa"/>
        <w:right w:w="0" w:type="dxa"/>
      </w:tblCellMar>
    </w:tblPr>
  </w:style>
  <w:style w:type="paragraph" w:customStyle="1" w:styleId="17">
    <w:name w:val="Table Text"/>
    <w:basedOn w:val="1"/>
    <w:semiHidden/>
    <w:qFormat/>
    <w:uiPriority w:val="0"/>
    <w:rPr>
      <w:rFonts w:ascii="宋体" w:hAnsi="宋体" w:eastAsia="宋体" w:cs="宋体"/>
      <w:sz w:val="21"/>
      <w:szCs w:val="21"/>
      <w:lang w:val="en-US" w:eastAsia="en-US" w:bidi="ar-SA"/>
    </w:rPr>
  </w:style>
  <w:style w:type="character" w:customStyle="1" w:styleId="18">
    <w:name w:val="toolbarlabel"/>
    <w:basedOn w:val="3"/>
    <w:qFormat/>
    <w:uiPriority w:val="0"/>
    <w:rPr>
      <w:color w:val="333333"/>
      <w:sz w:val="14"/>
      <w:szCs w:val="14"/>
    </w:rPr>
  </w:style>
  <w:style w:type="character" w:customStyle="1" w:styleId="19">
    <w:name w:val="toolbarlabel2"/>
    <w:basedOn w:val="3"/>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Pages>
  <Words>1320</Words>
  <Characters>1356</Characters>
  <TotalTime>6</TotalTime>
  <ScaleCrop>false</ScaleCrop>
  <LinksUpToDate>false</LinksUpToDate>
  <CharactersWithSpaces>1357</CharactersWithSpaces>
  <Application>WPS Office_12.1.0.28022_F1E327BC-269C-435d-A152-05C5408002CA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2025-01-03T14:22:00Z</dcterms:created>
  <dc:creator>Kingsoft-PDF</dc:creator>
  <cp:lastModifiedBy>Administrator</cp:lastModifiedBy>
  <cp:lastPrinted>2025-07-28T10:48:00Z</cp:lastPrinted>
  <dcterms:modified xsi:type="dcterms:W3CDTF">2026-08-21T09:27:35Z</dcterms:modified>
  <dc:subject>pdfbuilder</dc:subject>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2025-01-03T14:22:17Z</vt:filetime>
  </property>
  <property fmtid="{D5CDD505-2E9C-101B-9397-08002B2CF9AE}" pid="4" name="UsrData">
    <vt:lpwstr>67778216e9f72c001ffc4f9cwl</vt:lpwstr>
  </property>
  <property fmtid="{D5CDD505-2E9C-101B-9397-08002B2CF9AE}" pid="5" name="KSOTemplateDocerSaveRecord">
    <vt:lpwstr>eyJoZGlkIjoiMzEwNTM5NzYwMDRjMzkwZTVkZjY2ODkwMGIxNGU0OTUiLCJ1c2VySWQiOiIyMzQwMTc3MTAifQ==</vt:lpwstr>
  </property>
  <property fmtid="{D5CDD505-2E9C-101B-9397-08002B2CF9AE}" pid="6" name="KSOProductBuildVer">
    <vt:lpwstr>2052-12.1.0.28022</vt:lpwstr>
  </property>
  <property fmtid="{D5CDD505-2E9C-101B-9397-08002B2CF9AE}" pid="7" name="ICV">
    <vt:lpwstr>9FB2780C70D04B5C8EA7DC13984C572B_13</vt:lpwstr>
  </property>
</Properties>
</file>