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75C5B5">
      <w:pPr>
        <w:spacing w:line="388" w:lineRule="auto"/>
        <w:rPr>
          <w:rFonts w:hint="eastAsia" w:asciiTheme="majorEastAsia" w:hAnsiTheme="majorEastAsia" w:eastAsiaTheme="majorEastAsia" w:cstheme="majorEastAsia"/>
        </w:rPr>
      </w:pPr>
    </w:p>
    <w:p w14:paraId="172E97DC">
      <w:pPr>
        <w:spacing w:before="114" w:line="218" w:lineRule="auto"/>
        <w:ind w:left="3561"/>
        <w:outlineLvl w:val="0"/>
        <w:rPr>
          <w:rFonts w:hint="eastAsia" w:asciiTheme="majorEastAsia" w:hAnsiTheme="majorEastAsia" w:eastAsiaTheme="majorEastAsia" w:cstheme="majorEastAsia"/>
          <w:sz w:val="35"/>
          <w:szCs w:val="35"/>
        </w:rPr>
      </w:pPr>
      <w:r>
        <w:rPr>
          <w:rFonts w:hint="eastAsia" w:asciiTheme="majorEastAsia" w:hAnsiTheme="majorEastAsia" w:eastAsiaTheme="majorEastAsia" w:cstheme="majorEastAsia"/>
        </w:rPr>
        <w:pict>
          <v:shape id="_x0000_s1026" o:spid="_x0000_s1026" o:spt="202" type="#_x0000_t202" style="position:absolute;left:0pt;margin-left:529.05pt;margin-top:141.9pt;height:8.45pt;width:14.2pt;z-index:-251656192;mso-width-relative:page;mso-height-relative:page;" filled="f" stroked="f" coordsize="21600,21600">
            <v:path/>
            <v:fill on="f" focussize="0,0"/>
            <v:stroke on="f" joinstyle="miter"/>
            <v:imagedata o:title=""/>
            <o:lock v:ext="edit"/>
            <v:textbox inset="0mm,0mm,0mm,0mm">
              <w:txbxContent>
                <w:p w14:paraId="59DF59AB">
                  <w:pPr>
                    <w:spacing w:before="20" w:line="128" w:lineRule="exact"/>
                    <w:ind w:left="20"/>
                    <w:rPr>
                      <w:rFonts w:hint="eastAsia" w:ascii="仿宋" w:hAnsi="仿宋" w:eastAsia="仿宋" w:cs="仿宋"/>
                      <w:sz w:val="7"/>
                      <w:szCs w:val="7"/>
                    </w:rPr>
                  </w:pPr>
                  <w:r>
                    <w:rPr>
                      <w:rFonts w:ascii="仿宋" w:hAnsi="仿宋" w:eastAsia="仿宋" w:cs="仿宋"/>
                      <w:spacing w:val="120"/>
                      <w:w w:val="175"/>
                      <w:sz w:val="7"/>
                      <w:szCs w:val="7"/>
                    </w:rPr>
                    <w:t>”</w:t>
                  </w:r>
                </w:p>
              </w:txbxContent>
            </v:textbox>
          </v:shape>
        </w:pict>
      </w:r>
      <w:r>
        <w:rPr>
          <w:rFonts w:hint="eastAsia" w:asciiTheme="majorEastAsia" w:hAnsiTheme="majorEastAsia" w:eastAsiaTheme="majorEastAsia" w:cstheme="majorEastAsia"/>
          <w:b/>
          <w:bCs/>
          <w:spacing w:val="5"/>
          <w:sz w:val="35"/>
          <w:szCs w:val="35"/>
        </w:rPr>
        <w:t>开、评标会现场记录①</w:t>
      </w:r>
    </w:p>
    <w:tbl>
      <w:tblPr>
        <w:tblStyle w:val="18"/>
        <w:tblW w:w="1071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713"/>
      </w:tblGrid>
      <w:tr w14:paraId="03C8CC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10713" w:type="dxa"/>
            <w:vAlign w:val="center"/>
          </w:tcPr>
          <w:p w14:paraId="718483FF">
            <w:pPr>
              <w:bidi w:val="0"/>
              <w:jc w:val="both"/>
              <w:rPr>
                <w:rFonts w:hint="eastAsia" w:asciiTheme="majorEastAsia" w:hAnsiTheme="majorEastAsia" w:eastAsiaTheme="majorEastAsia" w:cstheme="majorEastAsia"/>
                <w:lang w:eastAsia="zh-CN"/>
              </w:rPr>
            </w:pPr>
            <w:r>
              <w:rPr>
                <w:rFonts w:hint="eastAsia" w:asciiTheme="majorEastAsia" w:hAnsiTheme="majorEastAsia" w:eastAsiaTheme="majorEastAsia" w:cstheme="majorEastAsia"/>
                <w:sz w:val="24"/>
                <w:szCs w:val="24"/>
              </w:rPr>
              <w:t>项目名称：</w:t>
            </w:r>
            <w:r>
              <w:rPr>
                <w:rFonts w:hint="eastAsia" w:asciiTheme="majorEastAsia" w:hAnsiTheme="majorEastAsia" w:eastAsiaTheme="majorEastAsia" w:cstheme="majorEastAsia"/>
                <w:sz w:val="24"/>
                <w:szCs w:val="24"/>
                <w:lang w:eastAsia="zh-CN"/>
              </w:rPr>
              <w:t>克拉玛依市克拉玛依区公共交通基础设施提升改造项目（二期）-智慧交通综合提升项目工程总承包(一标段)</w:t>
            </w:r>
          </w:p>
        </w:tc>
      </w:tr>
      <w:tr w14:paraId="3B5144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trPr>
        <w:tc>
          <w:tcPr>
            <w:tcW w:w="10713" w:type="dxa"/>
            <w:vAlign w:val="top"/>
          </w:tcPr>
          <w:p w14:paraId="4968249C">
            <w:pPr>
              <w:bidi w:val="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开标时间：2026年</w:t>
            </w:r>
            <w:bookmarkStart w:id="0" w:name="_GoBack"/>
            <w:bookmarkEnd w:id="0"/>
            <w:r>
              <w:rPr>
                <w:rFonts w:hint="eastAsia" w:asciiTheme="majorEastAsia" w:hAnsiTheme="majorEastAsia" w:eastAsiaTheme="majorEastAsia" w:cstheme="majorEastAsia"/>
                <w:sz w:val="24"/>
                <w:szCs w:val="24"/>
                <w:lang w:val="en-US" w:eastAsia="zh-CN"/>
              </w:rPr>
              <w:t>7月20日</w:t>
            </w:r>
          </w:p>
        </w:tc>
      </w:tr>
      <w:tr w14:paraId="00E38C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0713" w:type="dxa"/>
            <w:vAlign w:val="top"/>
          </w:tcPr>
          <w:p w14:paraId="37CAF9F2">
            <w:pPr>
              <w:bidi w:val="0"/>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rPr>
              <w:t>地点：克拉玛依市政务服务和公共资源交易中心（克拉玛依市胜利路33号市政府行政2号楼一楼东侧）</w:t>
            </w:r>
          </w:p>
        </w:tc>
      </w:tr>
      <w:tr w14:paraId="471F96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10713" w:type="dxa"/>
          </w:tcPr>
          <w:p w14:paraId="349EB201">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会议内容：</w:t>
            </w:r>
          </w:p>
        </w:tc>
      </w:tr>
      <w:tr w14:paraId="76DC6C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47" w:hRule="atLeast"/>
        </w:trPr>
        <w:tc>
          <w:tcPr>
            <w:tcW w:w="10713" w:type="dxa"/>
          </w:tcPr>
          <w:p w14:paraId="73FFC3C0">
            <w:pPr>
              <w:numPr>
                <w:ilvl w:val="0"/>
                <w:numId w:val="1"/>
              </w:numPr>
              <w:bidi w:val="0"/>
              <w:spacing w:line="360" w:lineRule="auto"/>
              <w:ind w:left="0" w:leftChars="0" w:firstLine="420" w:firstLineChars="0"/>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签到（</w:t>
            </w:r>
            <w:r>
              <w:rPr>
                <w:rFonts w:hint="eastAsia" w:asciiTheme="majorEastAsia" w:hAnsiTheme="majorEastAsia" w:eastAsiaTheme="majorEastAsia" w:cstheme="majorEastAsia"/>
                <w:b/>
                <w:bCs/>
                <w:sz w:val="24"/>
                <w:szCs w:val="24"/>
                <w:lang w:val="en-US" w:eastAsia="zh-CN"/>
              </w:rPr>
              <w:t>08</w:t>
            </w:r>
            <w:r>
              <w:rPr>
                <w:rFonts w:hint="eastAsia" w:asciiTheme="majorEastAsia" w:hAnsiTheme="majorEastAsia" w:eastAsiaTheme="majorEastAsia" w:cstheme="majorEastAsia"/>
                <w:b/>
                <w:bCs/>
                <w:sz w:val="24"/>
                <w:szCs w:val="24"/>
              </w:rPr>
              <w:t>:</w:t>
            </w:r>
            <w:r>
              <w:rPr>
                <w:rFonts w:hint="eastAsia" w:asciiTheme="majorEastAsia" w:hAnsiTheme="majorEastAsia" w:eastAsiaTheme="majorEastAsia" w:cstheme="majorEastAsia"/>
                <w:b/>
                <w:bCs/>
                <w:sz w:val="24"/>
                <w:szCs w:val="24"/>
                <w:lang w:val="en-US" w:eastAsia="zh-CN"/>
              </w:rPr>
              <w:t>30</w:t>
            </w:r>
            <w:r>
              <w:rPr>
                <w:rFonts w:hint="eastAsia" w:asciiTheme="majorEastAsia" w:hAnsiTheme="majorEastAsia" w:eastAsiaTheme="majorEastAsia" w:cstheme="majorEastAsia"/>
                <w:b/>
                <w:bCs/>
                <w:sz w:val="24"/>
                <w:szCs w:val="24"/>
              </w:rPr>
              <w:t>-</w:t>
            </w:r>
            <w:r>
              <w:rPr>
                <w:rFonts w:hint="eastAsia" w:asciiTheme="majorEastAsia" w:hAnsiTheme="majorEastAsia" w:eastAsiaTheme="majorEastAsia" w:cstheme="majorEastAsia"/>
                <w:b/>
                <w:bCs/>
                <w:sz w:val="24"/>
                <w:szCs w:val="24"/>
                <w:lang w:val="en-US" w:eastAsia="zh-CN"/>
              </w:rPr>
              <w:t>9</w:t>
            </w:r>
            <w:r>
              <w:rPr>
                <w:rFonts w:hint="eastAsia" w:asciiTheme="majorEastAsia" w:hAnsiTheme="majorEastAsia" w:eastAsiaTheme="majorEastAsia" w:cstheme="majorEastAsia"/>
                <w:b/>
                <w:bCs/>
                <w:sz w:val="24"/>
                <w:szCs w:val="24"/>
              </w:rPr>
              <w:t>:</w:t>
            </w:r>
            <w:r>
              <w:rPr>
                <w:rFonts w:hint="eastAsia" w:asciiTheme="majorEastAsia" w:hAnsiTheme="majorEastAsia" w:eastAsiaTheme="majorEastAsia" w:cstheme="majorEastAsia"/>
                <w:b/>
                <w:bCs/>
                <w:sz w:val="24"/>
                <w:szCs w:val="24"/>
                <w:lang w:val="en-US" w:eastAsia="zh-CN"/>
              </w:rPr>
              <w:t>00</w:t>
            </w:r>
            <w:r>
              <w:rPr>
                <w:rFonts w:hint="eastAsia" w:asciiTheme="majorEastAsia" w:hAnsiTheme="majorEastAsia" w:eastAsiaTheme="majorEastAsia" w:cstheme="majorEastAsia"/>
                <w:b/>
                <w:bCs/>
                <w:sz w:val="24"/>
                <w:szCs w:val="24"/>
              </w:rPr>
              <w:t>）</w:t>
            </w:r>
          </w:p>
          <w:p w14:paraId="77E13F69">
            <w:pPr>
              <w:numPr>
                <w:ilvl w:val="0"/>
                <w:numId w:val="2"/>
              </w:numPr>
              <w:bidi w:val="0"/>
              <w:spacing w:line="360" w:lineRule="auto"/>
              <w:ind w:left="0" w:leftChars="0" w:firstLine="400" w:firstLineChars="0"/>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克拉玛依市</w:t>
            </w:r>
            <w:r>
              <w:rPr>
                <w:rFonts w:hint="eastAsia" w:asciiTheme="majorEastAsia" w:hAnsiTheme="majorEastAsia" w:eastAsiaTheme="majorEastAsia" w:cstheme="majorEastAsia"/>
                <w:sz w:val="24"/>
                <w:szCs w:val="24"/>
              </w:rPr>
              <w:t>建设工程交易中心开标室，</w:t>
            </w:r>
            <w:r>
              <w:rPr>
                <w:rFonts w:hint="eastAsia" w:asciiTheme="majorEastAsia" w:hAnsiTheme="majorEastAsia" w:eastAsiaTheme="majorEastAsia" w:cstheme="majorEastAsia"/>
                <w:sz w:val="24"/>
                <w:szCs w:val="24"/>
                <w:lang w:eastAsia="zh-CN"/>
              </w:rPr>
              <w:t>本项目</w:t>
            </w:r>
            <w:r>
              <w:rPr>
                <w:rFonts w:hint="eastAsia" w:asciiTheme="majorEastAsia" w:hAnsiTheme="majorEastAsia" w:eastAsiaTheme="majorEastAsia" w:cstheme="majorEastAsia"/>
                <w:sz w:val="24"/>
                <w:szCs w:val="24"/>
              </w:rPr>
              <w:t>共有</w:t>
            </w:r>
            <w:r>
              <w:rPr>
                <w:rFonts w:hint="eastAsia" w:asciiTheme="majorEastAsia" w:hAnsiTheme="majorEastAsia" w:eastAsiaTheme="majorEastAsia" w:cstheme="majorEastAsia"/>
                <w:sz w:val="24"/>
                <w:szCs w:val="24"/>
                <w:lang w:val="en-US" w:eastAsia="zh-CN"/>
              </w:rPr>
              <w:t>18</w:t>
            </w:r>
            <w:r>
              <w:rPr>
                <w:rFonts w:hint="eastAsia" w:asciiTheme="majorEastAsia" w:hAnsiTheme="majorEastAsia" w:eastAsiaTheme="majorEastAsia" w:cstheme="majorEastAsia"/>
                <w:sz w:val="24"/>
                <w:szCs w:val="24"/>
                <w:lang w:eastAsia="zh-CN"/>
              </w:rPr>
              <w:t>家</w:t>
            </w:r>
            <w:r>
              <w:rPr>
                <w:rFonts w:hint="eastAsia" w:asciiTheme="majorEastAsia" w:hAnsiTheme="majorEastAsia" w:eastAsiaTheme="majorEastAsia" w:cstheme="majorEastAsia"/>
                <w:sz w:val="24"/>
                <w:szCs w:val="24"/>
              </w:rPr>
              <w:t>投标单位</w:t>
            </w:r>
            <w:r>
              <w:rPr>
                <w:rFonts w:hint="eastAsia" w:asciiTheme="majorEastAsia" w:hAnsiTheme="majorEastAsia" w:eastAsiaTheme="majorEastAsia" w:cstheme="majorEastAsia"/>
                <w:sz w:val="24"/>
                <w:szCs w:val="24"/>
                <w:lang w:eastAsia="zh-CN"/>
              </w:rPr>
              <w:t>获取</w:t>
            </w:r>
            <w:r>
              <w:rPr>
                <w:rFonts w:hint="eastAsia" w:asciiTheme="majorEastAsia" w:hAnsiTheme="majorEastAsia" w:eastAsiaTheme="majorEastAsia" w:cstheme="majorEastAsia"/>
                <w:sz w:val="24"/>
                <w:szCs w:val="24"/>
              </w:rPr>
              <w:t>招标文件</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rPr>
              <w:t>在投标截止</w:t>
            </w:r>
            <w:r>
              <w:rPr>
                <w:rFonts w:hint="eastAsia" w:asciiTheme="majorEastAsia" w:hAnsiTheme="majorEastAsia" w:eastAsiaTheme="majorEastAsia" w:cstheme="majorEastAsia"/>
                <w:sz w:val="24"/>
                <w:szCs w:val="24"/>
                <w:lang w:eastAsia="zh-CN"/>
              </w:rPr>
              <w:t>时间</w:t>
            </w:r>
            <w:r>
              <w:rPr>
                <w:rFonts w:hint="eastAsia" w:asciiTheme="majorEastAsia" w:hAnsiTheme="majorEastAsia" w:eastAsiaTheme="majorEastAsia" w:cstheme="majorEastAsia"/>
                <w:sz w:val="24"/>
                <w:szCs w:val="24"/>
              </w:rPr>
              <w:t>前皓泰工程建设集团有限公司</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rPr>
              <w:t>新疆维泰开发建设（集团）股份有限公司</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rPr>
              <w:t>永升建设集团有限公司</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rPr>
              <w:t>中齐建设工程有限公司</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rPr>
              <w:t>中铁一局集团有限公司</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rPr>
              <w:t>中建科工集团有限公司</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rPr>
              <w:t>中国建筑第二工程局有限公司</w:t>
            </w:r>
            <w:r>
              <w:rPr>
                <w:rFonts w:hint="eastAsia" w:asciiTheme="majorEastAsia" w:hAnsiTheme="majorEastAsia" w:eastAsiaTheme="majorEastAsia" w:cstheme="majorEastAsia"/>
                <w:sz w:val="24"/>
                <w:szCs w:val="24"/>
                <w:lang w:val="en-US" w:eastAsia="zh-CN"/>
              </w:rPr>
              <w:t>共7</w:t>
            </w:r>
            <w:r>
              <w:rPr>
                <w:rFonts w:hint="eastAsia" w:asciiTheme="majorEastAsia" w:hAnsiTheme="majorEastAsia" w:eastAsiaTheme="majorEastAsia" w:cstheme="majorEastAsia"/>
                <w:sz w:val="24"/>
                <w:szCs w:val="24"/>
              </w:rPr>
              <w:t>家投标单位</w:t>
            </w:r>
            <w:r>
              <w:rPr>
                <w:rFonts w:hint="eastAsia" w:asciiTheme="majorEastAsia" w:hAnsiTheme="majorEastAsia" w:eastAsiaTheme="majorEastAsia" w:cstheme="majorEastAsia"/>
                <w:sz w:val="24"/>
                <w:szCs w:val="24"/>
                <w:lang w:val="en-US" w:eastAsia="zh-CN"/>
              </w:rPr>
              <w:t>线上递交投标文件，均对投标文件进行解密。</w:t>
            </w:r>
          </w:p>
          <w:p w14:paraId="1218358B">
            <w:pPr>
              <w:numPr>
                <w:ilvl w:val="0"/>
                <w:numId w:val="1"/>
              </w:numPr>
              <w:bidi w:val="0"/>
              <w:spacing w:line="360" w:lineRule="auto"/>
              <w:ind w:left="0" w:leftChars="0" w:firstLine="420" w:firstLineChars="0"/>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标前会</w:t>
            </w:r>
          </w:p>
          <w:p w14:paraId="55EF68C4">
            <w:pPr>
              <w:numPr>
                <w:ilvl w:val="0"/>
                <w:numId w:val="2"/>
              </w:numPr>
              <w:bidi w:val="0"/>
              <w:spacing w:line="360" w:lineRule="auto"/>
              <w:ind w:left="0" w:leftChars="0" w:firstLine="400" w:firstLineChars="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招标代理工作人员签到；</w:t>
            </w:r>
          </w:p>
          <w:p w14:paraId="03B22705">
            <w:pPr>
              <w:numPr>
                <w:ilvl w:val="0"/>
                <w:numId w:val="2"/>
              </w:numPr>
              <w:bidi w:val="0"/>
              <w:spacing w:line="360" w:lineRule="auto"/>
              <w:ind w:left="0" w:leftChars="0" w:firstLine="400" w:firstLineChars="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各位评委</w:t>
            </w:r>
            <w:r>
              <w:rPr>
                <w:rFonts w:hint="eastAsia" w:asciiTheme="majorEastAsia" w:hAnsiTheme="majorEastAsia" w:eastAsiaTheme="majorEastAsia" w:cstheme="majorEastAsia"/>
                <w:sz w:val="24"/>
                <w:szCs w:val="24"/>
                <w:lang w:val="en-US" w:eastAsia="zh-CN"/>
              </w:rPr>
              <w:t>进行</w:t>
            </w:r>
            <w:r>
              <w:rPr>
                <w:rFonts w:hint="eastAsia" w:asciiTheme="majorEastAsia" w:hAnsiTheme="majorEastAsia" w:eastAsiaTheme="majorEastAsia" w:cstheme="majorEastAsia"/>
                <w:sz w:val="24"/>
                <w:szCs w:val="24"/>
              </w:rPr>
              <w:t>签到；</w:t>
            </w:r>
          </w:p>
          <w:p w14:paraId="198DC543">
            <w:pPr>
              <w:numPr>
                <w:ilvl w:val="0"/>
                <w:numId w:val="2"/>
              </w:numPr>
              <w:bidi w:val="0"/>
              <w:spacing w:line="360" w:lineRule="auto"/>
              <w:ind w:left="0" w:leftChars="0" w:firstLine="400" w:firstLineChars="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招标代理机构工作人员向各位评委介绍本</w:t>
            </w:r>
            <w:r>
              <w:rPr>
                <w:rFonts w:hint="eastAsia" w:asciiTheme="majorEastAsia" w:hAnsiTheme="majorEastAsia" w:eastAsiaTheme="majorEastAsia" w:cstheme="majorEastAsia"/>
                <w:sz w:val="24"/>
                <w:szCs w:val="24"/>
                <w:lang w:eastAsia="zh-CN"/>
              </w:rPr>
              <w:t>项目</w:t>
            </w:r>
            <w:r>
              <w:rPr>
                <w:rFonts w:hint="eastAsia" w:asciiTheme="majorEastAsia" w:hAnsiTheme="majorEastAsia" w:eastAsiaTheme="majorEastAsia" w:cstheme="majorEastAsia"/>
                <w:sz w:val="24"/>
                <w:szCs w:val="24"/>
              </w:rPr>
              <w:t>的工程概况，基本技术要求，评分办法等，并询问评委有无不清楚的地方，均表示无疑问。</w:t>
            </w:r>
          </w:p>
          <w:p w14:paraId="54181309">
            <w:pPr>
              <w:numPr>
                <w:ilvl w:val="0"/>
                <w:numId w:val="2"/>
              </w:numPr>
              <w:bidi w:val="0"/>
              <w:spacing w:line="360" w:lineRule="auto"/>
              <w:ind w:left="0" w:leftChars="0" w:firstLine="400" w:firstLineChars="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招标代理机构工作人员介绍本次</w:t>
            </w:r>
            <w:r>
              <w:rPr>
                <w:rFonts w:hint="eastAsia" w:asciiTheme="majorEastAsia" w:hAnsiTheme="majorEastAsia" w:eastAsiaTheme="majorEastAsia" w:cstheme="majorEastAsia"/>
                <w:sz w:val="24"/>
                <w:szCs w:val="24"/>
                <w:lang w:eastAsia="zh-CN"/>
              </w:rPr>
              <w:t>评标委员会的组成，本次评标委员会共由7人组成，招标人代表2人，其余经济技术类专家评委5人，专家评委由哈尔滨市公共资源交易中心专家库中随机抽取。</w:t>
            </w:r>
            <w:r>
              <w:rPr>
                <w:rFonts w:hint="eastAsia" w:asciiTheme="majorEastAsia" w:hAnsiTheme="majorEastAsia" w:eastAsiaTheme="majorEastAsia" w:cstheme="majorEastAsia"/>
                <w:sz w:val="24"/>
                <w:szCs w:val="24"/>
                <w:u w:val="none"/>
                <w:lang w:eastAsia="zh-CN"/>
              </w:rPr>
              <w:t>全体评标委员会成员一致推选了组长，</w:t>
            </w:r>
            <w:r>
              <w:rPr>
                <w:rFonts w:hint="eastAsia" w:asciiTheme="majorEastAsia" w:hAnsiTheme="majorEastAsia" w:eastAsiaTheme="majorEastAsia" w:cstheme="majorEastAsia"/>
                <w:sz w:val="24"/>
                <w:szCs w:val="24"/>
                <w:lang w:eastAsia="zh-CN"/>
              </w:rPr>
              <w:t>担任本次现场监督的是克拉玛依市克拉玛依区住房和城乡建设局建筑市场监督管理办公室的孙新蕾</w:t>
            </w:r>
            <w:r>
              <w:rPr>
                <w:rFonts w:hint="eastAsia" w:asciiTheme="majorEastAsia" w:hAnsiTheme="majorEastAsia" w:eastAsiaTheme="majorEastAsia" w:cstheme="majorEastAsia"/>
                <w:sz w:val="24"/>
                <w:szCs w:val="24"/>
                <w:lang w:val="en-US" w:eastAsia="zh-CN"/>
              </w:rPr>
              <w:t>。</w:t>
            </w:r>
          </w:p>
          <w:p w14:paraId="440E27C3">
            <w:pPr>
              <w:numPr>
                <w:ilvl w:val="0"/>
                <w:numId w:val="1"/>
              </w:numPr>
              <w:bidi w:val="0"/>
              <w:spacing w:line="360" w:lineRule="auto"/>
              <w:ind w:left="0" w:leftChars="0" w:firstLine="420" w:firstLineChars="0"/>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开标</w:t>
            </w:r>
          </w:p>
          <w:p w14:paraId="7462D497">
            <w:pPr>
              <w:numPr>
                <w:ilvl w:val="0"/>
                <w:numId w:val="3"/>
              </w:numPr>
              <w:bidi w:val="0"/>
              <w:spacing w:line="360" w:lineRule="auto"/>
              <w:ind w:left="0" w:leftChars="0" w:firstLine="400" w:firstLineChars="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招标代理机构工作人员介绍本次开标共分为</w:t>
            </w:r>
            <w:r>
              <w:rPr>
                <w:rFonts w:hint="eastAsia" w:asciiTheme="majorEastAsia" w:hAnsiTheme="majorEastAsia" w:eastAsiaTheme="majorEastAsia" w:cstheme="majorEastAsia"/>
                <w:sz w:val="24"/>
                <w:szCs w:val="24"/>
                <w:lang w:val="en-US" w:eastAsia="zh-CN"/>
              </w:rPr>
              <w:t>两</w:t>
            </w:r>
            <w:r>
              <w:rPr>
                <w:rFonts w:hint="eastAsia" w:asciiTheme="majorEastAsia" w:hAnsiTheme="majorEastAsia" w:eastAsiaTheme="majorEastAsia" w:cstheme="majorEastAsia"/>
                <w:sz w:val="24"/>
                <w:szCs w:val="24"/>
              </w:rPr>
              <w:t>个阶段，（1）初步评审，（2）详细评审。</w:t>
            </w:r>
          </w:p>
          <w:p w14:paraId="3D49769D">
            <w:pPr>
              <w:numPr>
                <w:ilvl w:val="0"/>
                <w:numId w:val="3"/>
              </w:numPr>
              <w:bidi w:val="0"/>
              <w:spacing w:line="360" w:lineRule="auto"/>
              <w:ind w:left="0" w:leftChars="0" w:firstLine="400" w:firstLineChars="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首先进行初步评审，经审查，新疆维泰开发建设（集团）股份有限公司和中铁一局集团有限公司未提供市政行业（公共交通工程）专业设计资质，不满足初步评审标准中资格评审标准资质等级的要求。其余5家投标人均通过初步评审，进入下一阶段详细评审。</w:t>
            </w:r>
          </w:p>
          <w:p w14:paraId="1AA01A24">
            <w:pPr>
              <w:numPr>
                <w:ilvl w:val="0"/>
                <w:numId w:val="3"/>
              </w:numPr>
              <w:bidi w:val="0"/>
              <w:spacing w:line="360" w:lineRule="auto"/>
              <w:ind w:left="0" w:leftChars="0" w:firstLine="400" w:firstLineChars="0"/>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rPr>
              <w:t>各位评委对投标单位的投标人</w:t>
            </w:r>
            <w:r>
              <w:rPr>
                <w:rFonts w:hint="eastAsia" w:asciiTheme="majorEastAsia" w:hAnsiTheme="majorEastAsia" w:eastAsiaTheme="majorEastAsia" w:cstheme="majorEastAsia"/>
                <w:sz w:val="24"/>
                <w:szCs w:val="24"/>
                <w:lang w:eastAsia="zh-CN"/>
              </w:rPr>
              <w:t>类似工程业绩</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eastAsia="zh-CN"/>
              </w:rPr>
              <w:t>项目管理机构、工程总承包项目经理、让利说明、信誉、工程总承</w:t>
            </w:r>
            <w:r>
              <w:rPr>
                <w:rFonts w:hint="eastAsia" w:asciiTheme="majorEastAsia" w:hAnsiTheme="majorEastAsia" w:eastAsiaTheme="majorEastAsia" w:cstheme="majorEastAsia"/>
                <w:sz w:val="24"/>
                <w:szCs w:val="24"/>
                <w:highlight w:val="none"/>
                <w:lang w:eastAsia="zh-CN"/>
              </w:rPr>
              <w:t>包施工控制措施及风险分析、设备、材料采购成本控制措施及计划和初步设计优化等商务标评审项目进行评分。</w:t>
            </w:r>
          </w:p>
        </w:tc>
      </w:tr>
      <w:tr w14:paraId="23B6C8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86" w:hRule="atLeast"/>
        </w:trPr>
        <w:tc>
          <w:tcPr>
            <w:tcW w:w="10713" w:type="dxa"/>
          </w:tcPr>
          <w:p w14:paraId="01292D2D">
            <w:pPr>
              <w:pStyle w:val="19"/>
              <w:spacing w:before="86" w:line="222" w:lineRule="auto"/>
              <w:ind w:left="21"/>
              <w:rPr>
                <w:rFonts w:hint="eastAsia" w:asciiTheme="majorEastAsia" w:hAnsiTheme="majorEastAsia" w:eastAsiaTheme="majorEastAsia" w:cstheme="majorEastAsia"/>
              </w:rPr>
            </w:pPr>
            <w:r>
              <w:rPr>
                <w:rFonts w:hint="eastAsia" w:asciiTheme="majorEastAsia" w:hAnsiTheme="majorEastAsia" w:eastAsiaTheme="majorEastAsia" w:cstheme="majorEastAsia"/>
                <w:spacing w:val="-4"/>
              </w:rPr>
              <w:t>评委签字：</w:t>
            </w:r>
          </w:p>
        </w:tc>
      </w:tr>
      <w:tr w14:paraId="36D10A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 w:hRule="atLeast"/>
        </w:trPr>
        <w:tc>
          <w:tcPr>
            <w:tcW w:w="10713" w:type="dxa"/>
          </w:tcPr>
          <w:p w14:paraId="363F55F3">
            <w:pPr>
              <w:pStyle w:val="19"/>
              <w:spacing w:before="206" w:line="223" w:lineRule="auto"/>
              <w:ind w:left="19"/>
              <w:rPr>
                <w:rFonts w:hint="eastAsia" w:asciiTheme="majorEastAsia" w:hAnsiTheme="majorEastAsia" w:eastAsiaTheme="majorEastAsia" w:cstheme="majorEastAsia"/>
              </w:rPr>
            </w:pPr>
            <w:r>
              <w:rPr>
                <w:rFonts w:hint="eastAsia" w:asciiTheme="majorEastAsia" w:hAnsiTheme="majorEastAsia" w:eastAsiaTheme="majorEastAsia" w:cstheme="majorEastAsia"/>
                <w:spacing w:val="-4"/>
                <w:lang w:eastAsia="zh-CN"/>
              </w:rPr>
              <w:t>记录</w:t>
            </w:r>
            <w:r>
              <w:rPr>
                <w:rFonts w:hint="eastAsia" w:asciiTheme="majorEastAsia" w:hAnsiTheme="majorEastAsia" w:eastAsiaTheme="majorEastAsia" w:cstheme="majorEastAsia"/>
                <w:spacing w:val="-4"/>
              </w:rPr>
              <w:t>人：</w:t>
            </w:r>
          </w:p>
        </w:tc>
      </w:tr>
    </w:tbl>
    <w:p w14:paraId="72BAF0BA">
      <w:pPr>
        <w:rPr>
          <w:rFonts w:hint="eastAsia" w:asciiTheme="majorEastAsia" w:hAnsiTheme="majorEastAsia" w:eastAsiaTheme="majorEastAsia" w:cstheme="majorEastAsia"/>
        </w:rPr>
      </w:pPr>
    </w:p>
    <w:p w14:paraId="45AD29C8">
      <w:pPr>
        <w:rPr>
          <w:rFonts w:hint="eastAsia" w:asciiTheme="majorEastAsia" w:hAnsiTheme="majorEastAsia" w:eastAsiaTheme="majorEastAsia" w:cstheme="majorEastAsia"/>
        </w:rPr>
        <w:sectPr>
          <w:headerReference r:id="rId3" w:type="default"/>
          <w:pgSz w:w="11905" w:h="16837"/>
          <w:pgMar w:top="400" w:right="453" w:bottom="0" w:left="607" w:header="0" w:footer="0" w:gutter="0"/>
          <w:cols w:space="720" w:num="1"/>
        </w:sectPr>
      </w:pPr>
    </w:p>
    <w:p w14:paraId="1F28A909">
      <w:pPr>
        <w:spacing w:line="388" w:lineRule="auto"/>
        <w:rPr>
          <w:rFonts w:hint="eastAsia" w:asciiTheme="majorEastAsia" w:hAnsiTheme="majorEastAsia" w:eastAsiaTheme="majorEastAsia" w:cstheme="majorEastAsia"/>
        </w:rPr>
      </w:pPr>
    </w:p>
    <w:p w14:paraId="75E98DC4">
      <w:pPr>
        <w:spacing w:before="114" w:line="218" w:lineRule="auto"/>
        <w:ind w:left="3561"/>
        <w:outlineLvl w:val="0"/>
        <w:rPr>
          <w:rFonts w:hint="eastAsia" w:asciiTheme="majorEastAsia" w:hAnsiTheme="majorEastAsia" w:eastAsiaTheme="majorEastAsia" w:cstheme="majorEastAsia"/>
          <w:sz w:val="35"/>
          <w:szCs w:val="35"/>
        </w:rPr>
      </w:pPr>
      <w:r>
        <w:rPr>
          <w:rFonts w:hint="eastAsia" w:asciiTheme="majorEastAsia" w:hAnsiTheme="majorEastAsia" w:eastAsiaTheme="majorEastAsia" w:cstheme="majorEastAsia"/>
        </w:rPr>
        <mc:AlternateContent>
          <mc:Choice Requires="wps">
            <w:drawing>
              <wp:anchor distT="0" distB="0" distL="114300" distR="114300" simplePos="0" relativeHeight="251659264" behindDoc="1" locked="0" layoutInCell="1" allowOverlap="1">
                <wp:simplePos x="0" y="0"/>
                <wp:positionH relativeFrom="column">
                  <wp:posOffset>6718935</wp:posOffset>
                </wp:positionH>
                <wp:positionV relativeFrom="paragraph">
                  <wp:posOffset>1802130</wp:posOffset>
                </wp:positionV>
                <wp:extent cx="180340" cy="107315"/>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0340" cy="107315"/>
                        </a:xfrm>
                        <a:prstGeom prst="rect">
                          <a:avLst/>
                        </a:prstGeom>
                        <a:noFill/>
                        <a:ln>
                          <a:noFill/>
                        </a:ln>
                      </wps:spPr>
                      <wps:txbx>
                        <w:txbxContent>
                          <w:p w14:paraId="0E1BD809">
                            <w:pPr>
                              <w:spacing w:before="20" w:line="128" w:lineRule="exact"/>
                              <w:ind w:left="20"/>
                              <w:rPr>
                                <w:rFonts w:hint="eastAsia" w:ascii="仿宋" w:hAnsi="仿宋" w:eastAsia="仿宋" w:cs="仿宋"/>
                                <w:sz w:val="7"/>
                                <w:szCs w:val="7"/>
                              </w:rPr>
                            </w:pPr>
                            <w:r>
                              <w:rPr>
                                <w:rFonts w:ascii="仿宋" w:hAnsi="仿宋" w:eastAsia="仿宋" w:cs="仿宋"/>
                                <w:spacing w:val="120"/>
                                <w:w w:val="175"/>
                                <w:sz w:val="7"/>
                                <w:szCs w:val="7"/>
                              </w:rPr>
                              <w:t>”</w:t>
                            </w:r>
                          </w:p>
                        </w:txbxContent>
                      </wps:txbx>
                      <wps:bodyPr lIns="0" tIns="0" rIns="0" bIns="0" upright="1"/>
                    </wps:wsp>
                  </a:graphicData>
                </a:graphic>
              </wp:anchor>
            </w:drawing>
          </mc:Choice>
          <mc:Fallback>
            <w:pict>
              <v:shape id="_x0000_s1026" o:spid="_x0000_s1026" o:spt="202" type="#_x0000_t202" style="position:absolute;left:0pt;margin-left:529.05pt;margin-top:141.9pt;height:8.45pt;width:14.2pt;z-index:-251657216;mso-width-relative:page;mso-height-relative:page;" filled="f" stroked="f" coordsize="21600,21600" o:gfxdata="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vXTZT2gAAAA0BAAAPAAAAAAAAAAEAIAAAACIAAABkcnMvZG93bnJldi54bWxQSwEC&#10;FAAUAAAACACHTuJAqNnCNrkBAABxAwAADgAAAAAAAAABACAAAAApAQAAZHJzL2Uyb0RvYy54bWxQ&#10;SwUGAAAAAAYABgBZAQAAVAUAAAAA&#10;">
                <v:fill on="f" focussize="0,0"/>
                <v:stroke on="f"/>
                <v:imagedata o:title=""/>
                <o:lock v:ext="edit" aspectratio="f"/>
                <v:textbox inset="0mm,0mm,0mm,0mm">
                  <w:txbxContent>
                    <w:p w14:paraId="0E1BD809">
                      <w:pPr>
                        <w:spacing w:before="20" w:line="128" w:lineRule="exact"/>
                        <w:ind w:left="20"/>
                        <w:rPr>
                          <w:rFonts w:hint="eastAsia" w:ascii="仿宋" w:hAnsi="仿宋" w:eastAsia="仿宋" w:cs="仿宋"/>
                          <w:sz w:val="7"/>
                          <w:szCs w:val="7"/>
                        </w:rPr>
                      </w:pPr>
                      <w:r>
                        <w:rPr>
                          <w:rFonts w:ascii="仿宋" w:hAnsi="仿宋" w:eastAsia="仿宋" w:cs="仿宋"/>
                          <w:spacing w:val="120"/>
                          <w:w w:val="175"/>
                          <w:sz w:val="7"/>
                          <w:szCs w:val="7"/>
                        </w:rPr>
                        <w:t>”</w:t>
                      </w:r>
                    </w:p>
                  </w:txbxContent>
                </v:textbox>
              </v:shape>
            </w:pict>
          </mc:Fallback>
        </mc:AlternateContent>
      </w:r>
      <w:r>
        <w:rPr>
          <w:rFonts w:hint="eastAsia" w:asciiTheme="majorEastAsia" w:hAnsiTheme="majorEastAsia" w:eastAsiaTheme="majorEastAsia" w:cstheme="majorEastAsia"/>
          <w:b/>
          <w:bCs/>
          <w:spacing w:val="5"/>
          <w:sz w:val="35"/>
          <w:szCs w:val="35"/>
        </w:rPr>
        <w:t>开、评标会现场记录②</w:t>
      </w:r>
    </w:p>
    <w:tbl>
      <w:tblPr>
        <w:tblStyle w:val="18"/>
        <w:tblW w:w="1071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713"/>
      </w:tblGrid>
      <w:tr w14:paraId="767891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2" w:hRule="atLeast"/>
        </w:trPr>
        <w:tc>
          <w:tcPr>
            <w:tcW w:w="10713" w:type="dxa"/>
            <w:vAlign w:val="center"/>
          </w:tcPr>
          <w:p w14:paraId="1BF08DB1">
            <w:pPr>
              <w:bidi w:val="0"/>
              <w:jc w:val="both"/>
              <w:rPr>
                <w:rFonts w:hint="eastAsia" w:asciiTheme="majorEastAsia" w:hAnsiTheme="majorEastAsia" w:eastAsiaTheme="majorEastAsia" w:cstheme="majorEastAsia"/>
                <w:lang w:eastAsia="zh-CN"/>
              </w:rPr>
            </w:pPr>
            <w:r>
              <w:rPr>
                <w:rFonts w:hint="eastAsia" w:asciiTheme="majorEastAsia" w:hAnsiTheme="majorEastAsia" w:eastAsiaTheme="majorEastAsia" w:cstheme="majorEastAsia"/>
                <w:sz w:val="24"/>
                <w:szCs w:val="24"/>
              </w:rPr>
              <w:t>项目名称：</w:t>
            </w:r>
            <w:r>
              <w:rPr>
                <w:rFonts w:hint="eastAsia" w:asciiTheme="majorEastAsia" w:hAnsiTheme="majorEastAsia" w:eastAsiaTheme="majorEastAsia" w:cstheme="majorEastAsia"/>
                <w:sz w:val="24"/>
                <w:szCs w:val="24"/>
                <w:lang w:eastAsia="zh-CN"/>
              </w:rPr>
              <w:t>克拉玛依市克拉玛依区公共交通基础设施提升改造项目（二期）-智慧交通综合提升项目工程总承包(一标段)</w:t>
            </w:r>
          </w:p>
        </w:tc>
      </w:tr>
      <w:tr w14:paraId="7F08A8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trPr>
        <w:tc>
          <w:tcPr>
            <w:tcW w:w="10713" w:type="dxa"/>
            <w:vAlign w:val="top"/>
          </w:tcPr>
          <w:p w14:paraId="0A83D82B">
            <w:pPr>
              <w:bidi w:val="0"/>
              <w:rPr>
                <w:rFonts w:hint="eastAsia" w:asciiTheme="majorEastAsia" w:hAnsiTheme="majorEastAsia" w:eastAsiaTheme="majorEastAsia" w:cstheme="majorEastAsia"/>
              </w:rPr>
            </w:pPr>
            <w:r>
              <w:rPr>
                <w:rFonts w:hint="eastAsia" w:asciiTheme="majorEastAsia" w:hAnsiTheme="majorEastAsia" w:eastAsiaTheme="majorEastAsia" w:cstheme="majorEastAsia"/>
                <w:sz w:val="24"/>
                <w:szCs w:val="24"/>
                <w:lang w:val="en-US" w:eastAsia="zh-CN"/>
              </w:rPr>
              <w:t>开标时间：2026年07月20日</w:t>
            </w:r>
          </w:p>
        </w:tc>
      </w:tr>
      <w:tr w14:paraId="5522E1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trPr>
        <w:tc>
          <w:tcPr>
            <w:tcW w:w="10713" w:type="dxa"/>
            <w:vAlign w:val="top"/>
          </w:tcPr>
          <w:p w14:paraId="0A400595">
            <w:pPr>
              <w:bidi w:val="0"/>
              <w:rPr>
                <w:rFonts w:hint="eastAsia" w:asciiTheme="majorEastAsia" w:hAnsiTheme="majorEastAsia" w:eastAsiaTheme="majorEastAsia" w:cstheme="majorEastAsia"/>
                <w:lang w:eastAsia="zh-CN"/>
              </w:rPr>
            </w:pPr>
            <w:r>
              <w:rPr>
                <w:rFonts w:hint="eastAsia" w:asciiTheme="majorEastAsia" w:hAnsiTheme="majorEastAsia" w:eastAsiaTheme="majorEastAsia" w:cstheme="majorEastAsia"/>
                <w:sz w:val="24"/>
                <w:szCs w:val="24"/>
              </w:rPr>
              <w:t>地点：克拉玛依市政务服务和公共资源交易中心（克拉玛依市胜利路33号市政府行政2号楼一楼东侧）</w:t>
            </w:r>
          </w:p>
        </w:tc>
      </w:tr>
      <w:tr w14:paraId="3BC1B0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10713" w:type="dxa"/>
            <w:vAlign w:val="top"/>
          </w:tcPr>
          <w:p w14:paraId="36357476">
            <w:pPr>
              <w:rPr>
                <w:rFonts w:hint="eastAsia" w:asciiTheme="majorEastAsia" w:hAnsiTheme="majorEastAsia" w:eastAsiaTheme="majorEastAsia" w:cstheme="majorEastAsia"/>
              </w:rPr>
            </w:pPr>
            <w:r>
              <w:rPr>
                <w:rFonts w:hint="eastAsia" w:asciiTheme="majorEastAsia" w:hAnsiTheme="majorEastAsia" w:eastAsiaTheme="majorEastAsia" w:cstheme="majorEastAsia"/>
                <w:sz w:val="24"/>
                <w:szCs w:val="24"/>
              </w:rPr>
              <w:t>会议内容：</w:t>
            </w:r>
          </w:p>
        </w:tc>
      </w:tr>
      <w:tr w14:paraId="0B8B3C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22" w:hRule="atLeast"/>
        </w:trPr>
        <w:tc>
          <w:tcPr>
            <w:tcW w:w="10713" w:type="dxa"/>
          </w:tcPr>
          <w:p w14:paraId="41483B12">
            <w:pPr>
              <w:numPr>
                <w:ilvl w:val="0"/>
                <w:numId w:val="3"/>
              </w:numPr>
              <w:bidi w:val="0"/>
              <w:spacing w:line="360" w:lineRule="auto"/>
              <w:ind w:left="0" w:leftChars="0" w:firstLine="400" w:firstLineChars="0"/>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投标人</w:t>
            </w:r>
            <w:r>
              <w:rPr>
                <w:rFonts w:hint="eastAsia" w:asciiTheme="majorEastAsia" w:hAnsiTheme="majorEastAsia" w:eastAsiaTheme="majorEastAsia" w:cstheme="majorEastAsia"/>
                <w:sz w:val="24"/>
                <w:szCs w:val="24"/>
                <w:lang w:eastAsia="zh-CN"/>
              </w:rPr>
              <w:t>商务标评审项目</w:t>
            </w:r>
            <w:r>
              <w:rPr>
                <w:rFonts w:hint="eastAsia" w:asciiTheme="majorEastAsia" w:hAnsiTheme="majorEastAsia" w:eastAsiaTheme="majorEastAsia" w:cstheme="majorEastAsia"/>
                <w:sz w:val="24"/>
                <w:szCs w:val="24"/>
              </w:rPr>
              <w:t>个人评审</w:t>
            </w:r>
            <w:r>
              <w:rPr>
                <w:rFonts w:hint="eastAsia" w:asciiTheme="majorEastAsia" w:hAnsiTheme="majorEastAsia" w:eastAsiaTheme="majorEastAsia" w:cstheme="majorEastAsia"/>
                <w:sz w:val="24"/>
                <w:szCs w:val="24"/>
                <w:lang w:val="en-US" w:eastAsia="zh-CN"/>
              </w:rPr>
              <w:t>完成后</w:t>
            </w:r>
            <w:r>
              <w:rPr>
                <w:rFonts w:hint="eastAsia" w:asciiTheme="majorEastAsia" w:hAnsiTheme="majorEastAsia" w:eastAsiaTheme="majorEastAsia" w:cstheme="majorEastAsia"/>
                <w:sz w:val="24"/>
                <w:szCs w:val="24"/>
              </w:rPr>
              <w:t>，由评标委员会组长对专家的打分情况进行汇总。</w:t>
            </w:r>
          </w:p>
          <w:p w14:paraId="0F8F99F2">
            <w:pPr>
              <w:numPr>
                <w:ilvl w:val="0"/>
                <w:numId w:val="3"/>
              </w:numPr>
              <w:bidi w:val="0"/>
              <w:spacing w:line="360" w:lineRule="auto"/>
              <w:ind w:left="0" w:leftChars="0" w:firstLine="400" w:firstLineChars="0"/>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eastAsia="zh-CN"/>
              </w:rPr>
              <w:t>评标委员会计算各</w:t>
            </w:r>
            <w:r>
              <w:rPr>
                <w:rFonts w:hint="eastAsia" w:asciiTheme="majorEastAsia" w:hAnsiTheme="majorEastAsia" w:eastAsiaTheme="majorEastAsia" w:cstheme="majorEastAsia"/>
                <w:sz w:val="24"/>
                <w:szCs w:val="24"/>
              </w:rPr>
              <w:t>投标人的</w:t>
            </w:r>
            <w:r>
              <w:rPr>
                <w:rFonts w:hint="eastAsia" w:asciiTheme="majorEastAsia" w:hAnsiTheme="majorEastAsia" w:eastAsiaTheme="majorEastAsia" w:cstheme="majorEastAsia"/>
                <w:sz w:val="24"/>
                <w:szCs w:val="24"/>
                <w:lang w:eastAsia="zh-CN"/>
              </w:rPr>
              <w:t>投标报价</w:t>
            </w:r>
            <w:r>
              <w:rPr>
                <w:rFonts w:hint="eastAsia" w:asciiTheme="majorEastAsia" w:hAnsiTheme="majorEastAsia" w:eastAsiaTheme="majorEastAsia" w:cstheme="majorEastAsia"/>
                <w:sz w:val="24"/>
                <w:szCs w:val="24"/>
                <w:lang w:val="en-US" w:eastAsia="zh-CN"/>
              </w:rPr>
              <w:t>得分和和信用评价得分。</w:t>
            </w:r>
          </w:p>
          <w:p w14:paraId="6EE08F13">
            <w:pPr>
              <w:numPr>
                <w:ilvl w:val="0"/>
                <w:numId w:val="3"/>
              </w:numPr>
              <w:bidi w:val="0"/>
              <w:spacing w:line="360" w:lineRule="auto"/>
              <w:ind w:left="0" w:leftChars="0" w:firstLine="400" w:firstLineChars="0"/>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各投标人的综合得分=</w:t>
            </w:r>
            <w:r>
              <w:rPr>
                <w:rFonts w:hint="eastAsia" w:asciiTheme="majorEastAsia" w:hAnsiTheme="majorEastAsia" w:eastAsiaTheme="majorEastAsia" w:cstheme="majorEastAsia"/>
                <w:sz w:val="24"/>
                <w:szCs w:val="24"/>
                <w:lang w:eastAsia="zh-CN"/>
              </w:rPr>
              <w:t>商务标</w:t>
            </w:r>
            <w:r>
              <w:rPr>
                <w:rFonts w:hint="eastAsia" w:asciiTheme="majorEastAsia" w:hAnsiTheme="majorEastAsia" w:eastAsiaTheme="majorEastAsia" w:cstheme="majorEastAsia"/>
                <w:sz w:val="24"/>
                <w:szCs w:val="24"/>
                <w:lang w:val="en-US" w:eastAsia="zh-CN"/>
              </w:rPr>
              <w:t>得分+</w:t>
            </w:r>
            <w:r>
              <w:rPr>
                <w:rFonts w:hint="eastAsia" w:asciiTheme="majorEastAsia" w:hAnsiTheme="majorEastAsia" w:eastAsiaTheme="majorEastAsia" w:cstheme="majorEastAsia"/>
                <w:sz w:val="24"/>
                <w:szCs w:val="24"/>
                <w:lang w:eastAsia="zh-CN"/>
              </w:rPr>
              <w:t>投标报价</w:t>
            </w:r>
            <w:r>
              <w:rPr>
                <w:rFonts w:hint="eastAsia" w:asciiTheme="majorEastAsia" w:hAnsiTheme="majorEastAsia" w:eastAsiaTheme="majorEastAsia" w:cstheme="majorEastAsia"/>
                <w:sz w:val="24"/>
                <w:szCs w:val="24"/>
                <w:lang w:val="en-US" w:eastAsia="zh-CN"/>
              </w:rPr>
              <w:t>得分+信用评价的得分。评标委员会依据招标文件中规定的评标方法确定定标候选人，并向招标人推荐不排名的5位定标候选人。</w:t>
            </w:r>
          </w:p>
          <w:p w14:paraId="7BB0E629">
            <w:pPr>
              <w:numPr>
                <w:ilvl w:val="0"/>
                <w:numId w:val="1"/>
              </w:numPr>
              <w:bidi w:val="0"/>
              <w:spacing w:line="360" w:lineRule="auto"/>
              <w:ind w:left="0" w:leftChars="0" w:firstLine="420" w:firstLineChars="0"/>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 xml:space="preserve">宣布评标结果 </w:t>
            </w:r>
          </w:p>
          <w:p w14:paraId="517F2DD1">
            <w:pPr>
              <w:bidi w:val="0"/>
              <w:spacing w:line="360" w:lineRule="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推荐的定标候选人分别为（排名以首字母排序）：</w:t>
            </w:r>
          </w:p>
          <w:p w14:paraId="799CAD43">
            <w:pPr>
              <w:bidi w:val="0"/>
              <w:spacing w:line="360"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皓泰工程建设集团有限公司</w:t>
            </w:r>
          </w:p>
          <w:p w14:paraId="3D305DDE">
            <w:pPr>
              <w:bidi w:val="0"/>
              <w:spacing w:line="360"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永升建设集团有限公司</w:t>
            </w:r>
          </w:p>
          <w:p w14:paraId="63583C33">
            <w:pPr>
              <w:bidi w:val="0"/>
              <w:spacing w:line="360"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中齐建设工程有限公司</w:t>
            </w:r>
          </w:p>
          <w:p w14:paraId="7D375E76">
            <w:pPr>
              <w:bidi w:val="0"/>
              <w:spacing w:line="360"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中建科工集团有限公司</w:t>
            </w:r>
          </w:p>
          <w:p w14:paraId="284874F1">
            <w:pPr>
              <w:bidi w:val="0"/>
              <w:spacing w:line="360" w:lineRule="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中国建筑第二工程局有限公司</w:t>
            </w:r>
          </w:p>
          <w:p w14:paraId="4B1DEB72">
            <w:pPr>
              <w:spacing w:line="360" w:lineRule="auto"/>
              <w:ind w:firstLine="48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sz w:val="24"/>
                <w:szCs w:val="24"/>
                <w:lang w:val="en-US" w:eastAsia="zh-CN"/>
              </w:rPr>
              <w:t>宣布本次评标结束。</w:t>
            </w:r>
          </w:p>
        </w:tc>
      </w:tr>
      <w:tr w14:paraId="079E70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03" w:hRule="atLeast"/>
        </w:trPr>
        <w:tc>
          <w:tcPr>
            <w:tcW w:w="10713" w:type="dxa"/>
          </w:tcPr>
          <w:p w14:paraId="77941960">
            <w:pPr>
              <w:pStyle w:val="19"/>
              <w:spacing w:before="84" w:line="222" w:lineRule="auto"/>
              <w:ind w:left="21"/>
              <w:rPr>
                <w:rFonts w:hint="eastAsia" w:asciiTheme="majorEastAsia" w:hAnsiTheme="majorEastAsia" w:eastAsiaTheme="majorEastAsia" w:cstheme="majorEastAsia"/>
              </w:rPr>
            </w:pPr>
            <w:r>
              <w:rPr>
                <w:rFonts w:hint="eastAsia" w:asciiTheme="majorEastAsia" w:hAnsiTheme="majorEastAsia" w:eastAsiaTheme="majorEastAsia" w:cstheme="majorEastAsia"/>
                <w:spacing w:val="-4"/>
              </w:rPr>
              <w:t>评委签字：</w:t>
            </w:r>
          </w:p>
        </w:tc>
      </w:tr>
      <w:tr w14:paraId="022B38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10713" w:type="dxa"/>
          </w:tcPr>
          <w:p w14:paraId="645A95A1">
            <w:pPr>
              <w:pStyle w:val="19"/>
              <w:spacing w:before="211" w:line="223" w:lineRule="auto"/>
              <w:ind w:left="19"/>
              <w:rPr>
                <w:rFonts w:hint="eastAsia" w:asciiTheme="majorEastAsia" w:hAnsiTheme="majorEastAsia" w:eastAsiaTheme="majorEastAsia" w:cstheme="majorEastAsia"/>
              </w:rPr>
            </w:pPr>
            <w:r>
              <w:rPr>
                <w:rFonts w:hint="eastAsia" w:asciiTheme="majorEastAsia" w:hAnsiTheme="majorEastAsia" w:eastAsiaTheme="majorEastAsia" w:cstheme="majorEastAsia"/>
                <w:spacing w:val="-4"/>
                <w:lang w:eastAsia="zh-CN"/>
              </w:rPr>
              <w:t>记录</w:t>
            </w:r>
            <w:r>
              <w:rPr>
                <w:rFonts w:hint="eastAsia" w:asciiTheme="majorEastAsia" w:hAnsiTheme="majorEastAsia" w:eastAsiaTheme="majorEastAsia" w:cstheme="majorEastAsia"/>
                <w:spacing w:val="-4"/>
              </w:rPr>
              <w:t>人：</w:t>
            </w:r>
          </w:p>
        </w:tc>
      </w:tr>
    </w:tbl>
    <w:p w14:paraId="723C0B88">
      <w:pPr>
        <w:rPr>
          <w:rFonts w:hint="eastAsia" w:asciiTheme="majorEastAsia" w:hAnsiTheme="majorEastAsia" w:eastAsiaTheme="majorEastAsia" w:cstheme="majorEastAsia"/>
        </w:rPr>
      </w:pPr>
    </w:p>
    <w:sectPr>
      <w:headerReference r:id="rId4" w:type="default"/>
      <w:pgSz w:w="11905" w:h="16837"/>
      <w:pgMar w:top="400" w:right="579" w:bottom="0" w:left="607"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DFBF4">
    <w:pPr>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CCE00">
    <w:pPr>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114CAA"/>
    <w:multiLevelType w:val="singleLevel"/>
    <w:tmpl w:val="CD114CAA"/>
    <w:lvl w:ilvl="0" w:tentative="0">
      <w:start w:val="1"/>
      <w:numFmt w:val="chineseCounting"/>
      <w:suff w:val="nothing"/>
      <w:lvlText w:val="%1、"/>
      <w:lvlJc w:val="left"/>
      <w:pPr>
        <w:ind w:left="0" w:firstLine="420"/>
      </w:pPr>
      <w:rPr>
        <w:rFonts w:hint="eastAsia"/>
      </w:rPr>
    </w:lvl>
  </w:abstractNum>
  <w:abstractNum w:abstractNumId="1">
    <w:nsid w:val="2601071F"/>
    <w:multiLevelType w:val="singleLevel"/>
    <w:tmpl w:val="2601071F"/>
    <w:lvl w:ilvl="0" w:tentative="0">
      <w:start w:val="1"/>
      <w:numFmt w:val="decimal"/>
      <w:suff w:val="nothing"/>
      <w:lvlText w:val="%1．"/>
      <w:lvlJc w:val="left"/>
      <w:pPr>
        <w:ind w:left="0" w:firstLine="400"/>
      </w:pPr>
      <w:rPr>
        <w:rFonts w:hint="default"/>
      </w:rPr>
    </w:lvl>
  </w:abstractNum>
  <w:abstractNum w:abstractNumId="2">
    <w:nsid w:val="681468F1"/>
    <w:multiLevelType w:val="singleLevel"/>
    <w:tmpl w:val="681468F1"/>
    <w:lvl w:ilvl="0" w:tentative="0">
      <w:start w:val="1"/>
      <w:numFmt w:val="decimal"/>
      <w:suff w:val="nothing"/>
      <w:lvlText w:val="%1．"/>
      <w:lvlJc w:val="left"/>
      <w:pPr>
        <w:ind w:left="0" w:firstLine="4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displayBackgroundShape w:val="1"/>
  <w:documentProtection w:enforcement="0"/>
  <w:defaultTabStop w:val="420"/>
  <w:noPunctuationKerning w:val="1"/>
  <w:characterSpacingControl w:val="doNotCompress"/>
  <w:compat>
    <w:spaceForUL/>
    <w:ulTrailSpace/>
    <w:doNotExpandShiftReturn/>
    <w:doNotWrapTextWithPunct/>
    <w:doNotUseEastAsianBreakRules/>
    <w:useFELayout/>
    <w:compatSetting w:name="compatibilityMode" w:uri="http://schemas.microsoft.com/office/word" w:val="14"/>
  </w:compat>
  <w:rsids>
    <w:rsidRoot w:val="00932031"/>
    <w:rsid w:val="000A17D9"/>
    <w:rsid w:val="00193FA3"/>
    <w:rsid w:val="007E6519"/>
    <w:rsid w:val="00932031"/>
    <w:rsid w:val="00EB604D"/>
    <w:rsid w:val="022772A2"/>
    <w:rsid w:val="0ABD7BE8"/>
    <w:rsid w:val="1BCE103D"/>
    <w:rsid w:val="1F6A149A"/>
    <w:rsid w:val="1F8C7450"/>
    <w:rsid w:val="21696FC6"/>
    <w:rsid w:val="25415D2D"/>
    <w:rsid w:val="25F51C57"/>
    <w:rsid w:val="26B87E89"/>
    <w:rsid w:val="344454FA"/>
    <w:rsid w:val="348B1DD7"/>
    <w:rsid w:val="35E5532F"/>
    <w:rsid w:val="36126F84"/>
    <w:rsid w:val="3ABA3DF9"/>
    <w:rsid w:val="3DA65552"/>
    <w:rsid w:val="47A20796"/>
    <w:rsid w:val="4BC230B6"/>
    <w:rsid w:val="58EF7EF3"/>
    <w:rsid w:val="5F63182E"/>
    <w:rsid w:val="6010574C"/>
    <w:rsid w:val="610C68E5"/>
    <w:rsid w:val="63407652"/>
    <w:rsid w:val="636A5C2C"/>
    <w:rsid w:val="688A7410"/>
    <w:rsid w:val="71290DE0"/>
    <w:rsid w:val="74E926C0"/>
    <w:rsid w:val="7F554A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next w:val="1"/>
    <w:qFormat/>
    <w:uiPriority w:val="0"/>
    <w:pPr>
      <w:pBdr>
        <w:top w:val="single" w:color="auto" w:sz="4" w:space="1"/>
      </w:pBdr>
    </w:pPr>
    <w:rPr>
      <w:b/>
      <w:bCs/>
    </w:rPr>
  </w:style>
  <w:style w:type="character" w:styleId="6">
    <w:name w:val="Strong"/>
    <w:basedOn w:val="5"/>
    <w:qFormat/>
    <w:uiPriority w:val="0"/>
    <w:rPr>
      <w:b/>
      <w:bCs/>
    </w:rPr>
  </w:style>
  <w:style w:type="character" w:styleId="7">
    <w:name w:val="FollowedHyperlink"/>
    <w:basedOn w:val="5"/>
    <w:qFormat/>
    <w:uiPriority w:val="0"/>
    <w:rPr>
      <w:color w:val="5C5C5C"/>
      <w:u w:val="none"/>
    </w:rPr>
  </w:style>
  <w:style w:type="character" w:styleId="8">
    <w:name w:val="Emphasis"/>
    <w:basedOn w:val="5"/>
    <w:qFormat/>
    <w:uiPriority w:val="0"/>
    <w:rPr>
      <w:b/>
      <w:bCs/>
    </w:rPr>
  </w:style>
  <w:style w:type="character" w:styleId="9">
    <w:name w:val="HTML Definition"/>
    <w:basedOn w:val="5"/>
    <w:uiPriority w:val="0"/>
  </w:style>
  <w:style w:type="character" w:styleId="10">
    <w:name w:val="HTML Typewriter"/>
    <w:basedOn w:val="5"/>
    <w:qFormat/>
    <w:uiPriority w:val="0"/>
    <w:rPr>
      <w:rFonts w:hint="default" w:ascii="monospace" w:hAnsi="monospace" w:eastAsia="monospace" w:cs="monospace"/>
      <w:sz w:val="20"/>
    </w:rPr>
  </w:style>
  <w:style w:type="character" w:styleId="11">
    <w:name w:val="HTML Acronym"/>
    <w:basedOn w:val="5"/>
    <w:qFormat/>
    <w:uiPriority w:val="0"/>
  </w:style>
  <w:style w:type="character" w:styleId="12">
    <w:name w:val="HTML Variable"/>
    <w:basedOn w:val="5"/>
    <w:qFormat/>
    <w:uiPriority w:val="0"/>
  </w:style>
  <w:style w:type="character" w:styleId="13">
    <w:name w:val="Hyperlink"/>
    <w:basedOn w:val="5"/>
    <w:qFormat/>
    <w:uiPriority w:val="0"/>
    <w:rPr>
      <w:color w:val="5C5C5C"/>
      <w:u w:val="none"/>
    </w:rPr>
  </w:style>
  <w:style w:type="character" w:styleId="14">
    <w:name w:val="HTML Code"/>
    <w:basedOn w:val="5"/>
    <w:qFormat/>
    <w:uiPriority w:val="0"/>
    <w:rPr>
      <w:rFonts w:ascii="monospace" w:hAnsi="monospace" w:eastAsia="monospace" w:cs="monospace"/>
      <w:sz w:val="20"/>
    </w:rPr>
  </w:style>
  <w:style w:type="character" w:styleId="15">
    <w:name w:val="HTML Cite"/>
    <w:basedOn w:val="5"/>
    <w:qFormat/>
    <w:uiPriority w:val="0"/>
  </w:style>
  <w:style w:type="character" w:styleId="16">
    <w:name w:val="HTML Keyboard"/>
    <w:basedOn w:val="5"/>
    <w:qFormat/>
    <w:uiPriority w:val="0"/>
    <w:rPr>
      <w:rFonts w:hint="default" w:ascii="monospace" w:hAnsi="monospace" w:eastAsia="monospace" w:cs="monospace"/>
      <w:sz w:val="20"/>
    </w:rPr>
  </w:style>
  <w:style w:type="character" w:styleId="17">
    <w:name w:val="HTML Sample"/>
    <w:basedOn w:val="5"/>
    <w:qFormat/>
    <w:uiPriority w:val="0"/>
    <w:rPr>
      <w:rFonts w:hint="default" w:ascii="monospace" w:hAnsi="monospace" w:eastAsia="monospace" w:cs="monospace"/>
    </w:rPr>
  </w:style>
  <w:style w:type="table" w:customStyle="1" w:styleId="18">
    <w:name w:val="Table Normal"/>
    <w:semiHidden/>
    <w:unhideWhenUsed/>
    <w:qFormat/>
    <w:uiPriority w:val="0"/>
    <w:tblPr>
      <w:tblCellMar>
        <w:top w:w="0" w:type="dxa"/>
        <w:left w:w="0" w:type="dxa"/>
        <w:bottom w:w="0" w:type="dxa"/>
        <w:right w:w="0" w:type="dxa"/>
      </w:tblCellMar>
    </w:tblPr>
  </w:style>
  <w:style w:type="paragraph" w:customStyle="1" w:styleId="19">
    <w:name w:val="Table Text"/>
    <w:basedOn w:val="1"/>
    <w:semiHidden/>
    <w:qFormat/>
    <w:uiPriority w:val="0"/>
    <w:rPr>
      <w:rFonts w:ascii="仿宋" w:hAnsi="仿宋" w:eastAsia="仿宋" w:cs="仿宋"/>
      <w:sz w:val="24"/>
      <w:szCs w:val="24"/>
    </w:rPr>
  </w:style>
  <w:style w:type="character" w:customStyle="1" w:styleId="20">
    <w:name w:val="hover"/>
    <w:basedOn w:val="5"/>
    <w:qFormat/>
    <w:uiPriority w:val="0"/>
    <w:rPr>
      <w:color w:val="2590EB"/>
      <w:shd w:val="clear" w:color="auto" w:fill="E9F4FD"/>
    </w:rPr>
  </w:style>
  <w:style w:type="character" w:customStyle="1" w:styleId="21">
    <w:name w:val="hover1"/>
    <w:basedOn w:val="5"/>
    <w:qFormat/>
    <w:uiPriority w:val="0"/>
    <w:rPr>
      <w:color w:val="2590EB"/>
    </w:rPr>
  </w:style>
  <w:style w:type="character" w:customStyle="1" w:styleId="22">
    <w:name w:val="hover2"/>
    <w:basedOn w:val="5"/>
    <w:qFormat/>
    <w:uiPriority w:val="0"/>
  </w:style>
  <w:style w:type="character" w:customStyle="1" w:styleId="23">
    <w:name w:val="hover3"/>
    <w:basedOn w:val="5"/>
    <w:qFormat/>
    <w:uiPriority w:val="0"/>
    <w:rPr>
      <w:color w:val="2590EB"/>
    </w:rPr>
  </w:style>
  <w:style w:type="character" w:customStyle="1" w:styleId="24">
    <w:name w:val="hover4"/>
    <w:basedOn w:val="5"/>
    <w:qFormat/>
    <w:uiPriority w:val="0"/>
    <w:rPr>
      <w:color w:val="2590EB"/>
      <w:shd w:val="clear" w:color="auto" w:fill="E9F4F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223</Words>
  <Characters>1274</Characters>
  <Lines>10</Lines>
  <Paragraphs>2</Paragraphs>
  <TotalTime>0</TotalTime>
  <ScaleCrop>false</ScaleCrop>
  <LinksUpToDate>false</LinksUpToDate>
  <CharactersWithSpaces>1495</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2026-03-03T14:58:00Z</dcterms:created>
  <dc:creator>hasee</dc:creator>
  <cp:lastModifiedBy>妮娜</cp:lastModifiedBy>
  <cp:lastPrinted>2026-03-09T08:48:00Z</cp:lastPrinted>
  <dcterms:modified xsi:type="dcterms:W3CDTF">2026-07-20T12:26:24Z</dcterms:modified>
  <dc:title>开标会现场记录</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2026-03-05T10:13:00Z</vt:filetime>
  </property>
  <property fmtid="{D5CDD505-2E9C-101B-9397-08002B2CF9AE}" pid="4" name="KSOTemplateDocerSaveRecord">
    <vt:lpwstr>eyJoZGlkIjoiNzc2YzgyMzBmNmM2Yjg3ZmQzNDZlNTdjNTg2MGYzMDkiLCJ1c2VySWQiOiIyNjgxNzY5ODcifQ==</vt:lpwstr>
  </property>
  <property fmtid="{D5CDD505-2E9C-101B-9397-08002B2CF9AE}" pid="5" name="KSOProductBuildVer">
    <vt:lpwstr>2052-12.8.2.21177</vt:lpwstr>
  </property>
  <property fmtid="{D5CDD505-2E9C-101B-9397-08002B2CF9AE}" pid="6" name="ICV">
    <vt:lpwstr>4D2AFB76BC2346EBA90B2C99955F8A43_13</vt:lpwstr>
  </property>
</Properties>
</file>