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jc w:val="center"/>
      </w:pPr>
    </w:p>
    <w:p/>
    <w:p>
      <w:pPr>
        <w:pStyle w:val="2"/>
        <w:ind w:firstLine="420"/>
      </w:pPr>
    </w:p>
    <w:p/>
    <w:p>
      <w:pPr>
        <w:spacing w:line="960" w:lineRule="auto"/>
        <w:ind w:firstLine="0" w:firstLineChars="0"/>
        <w:jc w:val="center"/>
        <w:rPr>
          <w:rFonts w:eastAsia="思源黑体 CN Regular"/>
          <w:b/>
          <w:sz w:val="52"/>
        </w:rPr>
      </w:pPr>
      <w:r>
        <w:rPr>
          <w:rFonts w:hint="eastAsia" w:eastAsia="思源黑体 CN Regular"/>
          <w:b/>
          <w:sz w:val="52"/>
        </w:rPr>
        <w:t>克拉玛依市公共资源交易平台</w:t>
      </w:r>
    </w:p>
    <w:p>
      <w:pPr>
        <w:spacing w:line="960" w:lineRule="auto"/>
        <w:ind w:firstLine="0" w:firstLineChars="0"/>
        <w:jc w:val="center"/>
        <w:rPr>
          <w:rFonts w:eastAsia="思源黑体 CN Regular"/>
          <w:b/>
          <w:sz w:val="52"/>
          <w:lang w:val="zh-CN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797" w:bottom="1440" w:left="1797" w:header="850" w:footer="992" w:gutter="0"/>
          <w:cols w:space="0" w:num="1"/>
          <w:docGrid w:type="lines" w:linePitch="312" w:charSpace="0"/>
        </w:sectPr>
      </w:pPr>
      <w:r>
        <w:rPr>
          <w:rFonts w:hint="eastAsia" w:eastAsia="思源黑体 CN Regular"/>
          <w:b/>
          <w:sz w:val="52"/>
        </w:rPr>
        <w:t>电子保函</w:t>
      </w:r>
      <w:r>
        <w:rPr>
          <w:rFonts w:hint="eastAsia" w:eastAsia="思源黑体 CN Regular"/>
          <w:b/>
          <w:sz w:val="52"/>
          <w:lang w:val="en-US" w:eastAsia="zh-CN"/>
        </w:rPr>
        <w:t>系统</w:t>
      </w:r>
      <w:r>
        <w:rPr>
          <w:rFonts w:hint="eastAsia" w:eastAsia="思源黑体 CN Regular"/>
          <w:b/>
          <w:sz w:val="52"/>
        </w:rPr>
        <w:t>用户操作手册</w:t>
      </w:r>
    </w:p>
    <w:sdt>
      <w:sdtPr>
        <w:rPr>
          <w:rFonts w:ascii="宋体" w:hAnsi="宋体" w:eastAsia="宋体"/>
        </w:rPr>
        <w:id w:val="147468515"/>
        <w15:color w:val="DBDBDB"/>
        <w:docPartObj>
          <w:docPartGallery w:val="Table of Contents"/>
          <w:docPartUnique/>
        </w:docPartObj>
      </w:sdtPr>
      <w:sdtEndPr>
        <w:rPr>
          <w:rFonts w:ascii="宋体" w:hAnsi="宋体" w:eastAsia="宋体"/>
        </w:rPr>
      </w:sdtEndPr>
      <w:sdtContent>
        <w:p>
          <w:pPr>
            <w:ind w:firstLine="0" w:firstLineChars="0"/>
            <w:jc w:val="center"/>
            <w:rPr>
              <w:b/>
              <w:spacing w:val="198"/>
              <w:kern w:val="20"/>
              <w:sz w:val="32"/>
            </w:rPr>
          </w:pPr>
          <w:r>
            <w:rPr>
              <w:b/>
              <w:spacing w:val="198"/>
              <w:kern w:val="20"/>
              <w:sz w:val="32"/>
            </w:rPr>
            <w:t>目录</w:t>
          </w:r>
        </w:p>
        <w:p>
          <w:pPr>
            <w:pStyle w:val="17"/>
            <w:tabs>
              <w:tab w:val="right" w:leader="dot" w:pos="8312"/>
            </w:tabs>
          </w:pPr>
          <w:r>
            <w:fldChar w:fldCharType="begin"/>
          </w:r>
          <w:r>
            <w:instrText xml:space="preserve">TOC \o "1-3" \h \u </w:instrText>
          </w:r>
          <w:r>
            <w:fldChar w:fldCharType="separate"/>
          </w:r>
          <w:r>
            <w:fldChar w:fldCharType="begin"/>
          </w:r>
          <w:r>
            <w:instrText xml:space="preserve"> HYPERLINK \l _Toc30544 </w:instrText>
          </w:r>
          <w:r>
            <w:fldChar w:fldCharType="separate"/>
          </w:r>
          <w:r>
            <w:rPr>
              <w:rFonts w:hint="eastAsia" w:ascii="Times New Roman" w:hAnsi="Times New Roman" w:eastAsia="思源宋体 CN Light" w:cs="宋体"/>
            </w:rPr>
            <w:t xml:space="preserve">一、 </w:t>
          </w:r>
          <w:r>
            <w:rPr>
              <w:rFonts w:hint="eastAsia"/>
            </w:rPr>
            <w:t>系统前期准备</w:t>
          </w:r>
          <w:r>
            <w:tab/>
          </w:r>
          <w:r>
            <w:fldChar w:fldCharType="begin"/>
          </w:r>
          <w:r>
            <w:instrText xml:space="preserve"> PAGEREF _Toc30544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18"/>
            <w:tabs>
              <w:tab w:val="right" w:leader="dot" w:pos="8312"/>
            </w:tabs>
          </w:pPr>
          <w:r>
            <w:fldChar w:fldCharType="begin"/>
          </w:r>
          <w:r>
            <w:instrText xml:space="preserve"> HYPERLINK \l _Toc20529 </w:instrText>
          </w:r>
          <w:r>
            <w:fldChar w:fldCharType="separate"/>
          </w:r>
          <w:r>
            <w:rPr>
              <w:rFonts w:hint="eastAsia" w:ascii="Times New Roman" w:hAnsi="Times New Roman" w:eastAsia="思源宋体 CN Light" w:cs="宋体"/>
            </w:rPr>
            <w:t xml:space="preserve">1.1、 </w:t>
          </w:r>
          <w:r>
            <w:rPr>
              <w:rFonts w:hint="eastAsia"/>
            </w:rPr>
            <w:t>浏览器配置</w:t>
          </w:r>
          <w:r>
            <w:tab/>
          </w:r>
          <w:r>
            <w:fldChar w:fldCharType="begin"/>
          </w:r>
          <w:r>
            <w:instrText xml:space="preserve"> PAGEREF _Toc20529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right" w:leader="dot" w:pos="8312"/>
            </w:tabs>
          </w:pPr>
          <w:r>
            <w:fldChar w:fldCharType="begin"/>
          </w:r>
          <w:r>
            <w:instrText xml:space="preserve"> HYPERLINK \l _Toc22415 </w:instrText>
          </w:r>
          <w:r>
            <w:fldChar w:fldCharType="separate"/>
          </w:r>
          <w:r>
            <w:rPr>
              <w:rFonts w:hint="eastAsia" w:ascii="Times New Roman" w:hAnsi="Times New Roman" w:eastAsia="思源宋体 CN Light" w:cs="宋体"/>
            </w:rPr>
            <w:t xml:space="preserve">1.1.1、 </w:t>
          </w:r>
          <w:r>
            <w:rPr>
              <w:rFonts w:hint="eastAsia"/>
            </w:rPr>
            <w:t>Internet选项</w:t>
          </w:r>
          <w:r>
            <w:tab/>
          </w:r>
          <w:r>
            <w:fldChar w:fldCharType="begin"/>
          </w:r>
          <w:r>
            <w:instrText xml:space="preserve"> PAGEREF _Toc22415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right" w:leader="dot" w:pos="8312"/>
            </w:tabs>
          </w:pPr>
          <w:r>
            <w:fldChar w:fldCharType="begin"/>
          </w:r>
          <w:r>
            <w:instrText xml:space="preserve"> HYPERLINK \l _Toc18337 </w:instrText>
          </w:r>
          <w:r>
            <w:fldChar w:fldCharType="separate"/>
          </w:r>
          <w:r>
            <w:rPr>
              <w:rFonts w:hint="eastAsia" w:ascii="Times New Roman" w:hAnsi="Times New Roman" w:eastAsia="思源宋体 CN Light" w:cs="宋体"/>
            </w:rPr>
            <w:t xml:space="preserve">1.1.2、 </w:t>
          </w:r>
          <w:r>
            <w:rPr>
              <w:rFonts w:hint="eastAsia"/>
            </w:rPr>
            <w:t>关闭拦截工具</w:t>
          </w:r>
          <w:r>
            <w:tab/>
          </w:r>
          <w:r>
            <w:fldChar w:fldCharType="begin"/>
          </w:r>
          <w:r>
            <w:instrText xml:space="preserve"> PAGEREF _Toc18337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17"/>
            <w:tabs>
              <w:tab w:val="right" w:leader="dot" w:pos="8312"/>
            </w:tabs>
          </w:pPr>
          <w:r>
            <w:fldChar w:fldCharType="begin"/>
          </w:r>
          <w:r>
            <w:instrText xml:space="preserve"> HYPERLINK \l _Toc28759 </w:instrText>
          </w:r>
          <w:r>
            <w:fldChar w:fldCharType="separate"/>
          </w:r>
          <w:r>
            <w:rPr>
              <w:rFonts w:hint="eastAsia" w:ascii="Times New Roman" w:hAnsi="Times New Roman" w:eastAsia="思源宋体 CN Light" w:cs="宋体"/>
            </w:rPr>
            <w:t xml:space="preserve">二、 </w:t>
          </w:r>
          <w:r>
            <w:rPr>
              <w:rFonts w:hint="eastAsia"/>
            </w:rPr>
            <w:t>平台登录</w:t>
          </w:r>
          <w:r>
            <w:rPr>
              <w:rFonts w:hint="eastAsia"/>
              <w:lang w:eastAsia="zh-CN"/>
            </w:rPr>
            <w:t>（</w:t>
          </w:r>
          <w:r>
            <w:rPr>
              <w:rFonts w:hint="eastAsia"/>
              <w:lang w:val="en-US" w:eastAsia="zh-CN"/>
            </w:rPr>
            <w:t>CA</w:t>
          </w:r>
          <w:r>
            <w:rPr>
              <w:rFonts w:hint="eastAsia"/>
              <w:lang w:eastAsia="zh-CN"/>
            </w:rPr>
            <w:t>）</w:t>
          </w:r>
          <w:r>
            <w:tab/>
          </w:r>
          <w:r>
            <w:fldChar w:fldCharType="begin"/>
          </w:r>
          <w:r>
            <w:instrText xml:space="preserve"> PAGEREF _Toc28759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17"/>
            <w:tabs>
              <w:tab w:val="right" w:leader="dot" w:pos="8312"/>
            </w:tabs>
          </w:pPr>
          <w:r>
            <w:fldChar w:fldCharType="begin"/>
          </w:r>
          <w:r>
            <w:instrText xml:space="preserve"> HYPERLINK \l _Toc10531 </w:instrText>
          </w:r>
          <w:r>
            <w:fldChar w:fldCharType="separate"/>
          </w:r>
          <w:r>
            <w:rPr>
              <w:rFonts w:hint="eastAsia" w:ascii="Times New Roman" w:hAnsi="Times New Roman" w:eastAsia="思源宋体 CN Light" w:cs="宋体"/>
            </w:rPr>
            <w:t xml:space="preserve">三、 </w:t>
          </w:r>
          <w:r>
            <w:rPr>
              <w:rFonts w:hint="eastAsia"/>
            </w:rPr>
            <w:t>平台登录（单点登录）</w:t>
          </w:r>
          <w:r>
            <w:tab/>
          </w:r>
          <w:r>
            <w:fldChar w:fldCharType="begin"/>
          </w:r>
          <w:r>
            <w:instrText xml:space="preserve"> PAGEREF _Toc10531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17"/>
            <w:tabs>
              <w:tab w:val="right" w:leader="dot" w:pos="8312"/>
            </w:tabs>
          </w:pPr>
          <w:r>
            <w:fldChar w:fldCharType="begin"/>
          </w:r>
          <w:r>
            <w:instrText xml:space="preserve"> HYPERLINK \l _Toc19687 </w:instrText>
          </w:r>
          <w:r>
            <w:fldChar w:fldCharType="separate"/>
          </w:r>
          <w:r>
            <w:rPr>
              <w:rFonts w:hint="eastAsia" w:ascii="Times New Roman" w:hAnsi="Times New Roman" w:eastAsia="思源宋体 CN Light" w:cs="宋体"/>
            </w:rPr>
            <w:t xml:space="preserve">四、 </w:t>
          </w:r>
          <w:r>
            <w:rPr>
              <w:rFonts w:hint="eastAsia"/>
            </w:rPr>
            <w:t>用户中心</w:t>
          </w:r>
          <w:r>
            <w:tab/>
          </w:r>
          <w:r>
            <w:fldChar w:fldCharType="begin"/>
          </w:r>
          <w:r>
            <w:instrText xml:space="preserve"> PAGEREF _Toc19687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>
          <w:pPr>
            <w:pStyle w:val="18"/>
            <w:tabs>
              <w:tab w:val="right" w:leader="dot" w:pos="8312"/>
            </w:tabs>
          </w:pPr>
          <w:r>
            <w:fldChar w:fldCharType="begin"/>
          </w:r>
          <w:r>
            <w:instrText xml:space="preserve"> HYPERLINK \l _Toc593 </w:instrText>
          </w:r>
          <w:r>
            <w:fldChar w:fldCharType="separate"/>
          </w:r>
          <w:r>
            <w:rPr>
              <w:rFonts w:hint="eastAsia" w:ascii="Times New Roman" w:hAnsi="Times New Roman" w:eastAsia="思源宋体 CN Light" w:cs="宋体"/>
            </w:rPr>
            <w:t xml:space="preserve">4.1、 </w:t>
          </w:r>
          <w:r>
            <w:rPr>
              <w:rFonts w:hint="eastAsia"/>
            </w:rPr>
            <w:t>账户中心</w:t>
          </w:r>
          <w:r>
            <w:tab/>
          </w:r>
          <w:r>
            <w:fldChar w:fldCharType="begin"/>
          </w:r>
          <w:r>
            <w:instrText xml:space="preserve"> PAGEREF _Toc593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>
          <w:pPr>
            <w:pStyle w:val="18"/>
            <w:tabs>
              <w:tab w:val="right" w:leader="dot" w:pos="8312"/>
            </w:tabs>
          </w:pPr>
          <w:r>
            <w:fldChar w:fldCharType="begin"/>
          </w:r>
          <w:r>
            <w:instrText xml:space="preserve"> HYPERLINK \l _Toc7780 </w:instrText>
          </w:r>
          <w:r>
            <w:fldChar w:fldCharType="separate"/>
          </w:r>
          <w:r>
            <w:rPr>
              <w:rFonts w:hint="eastAsia" w:ascii="Times New Roman" w:hAnsi="Times New Roman" w:eastAsia="思源宋体 CN Light" w:cs="宋体"/>
            </w:rPr>
            <w:t xml:space="preserve">4.2、 </w:t>
          </w:r>
          <w:r>
            <w:rPr>
              <w:rFonts w:hint="eastAsia"/>
            </w:rPr>
            <w:t>我的消息</w:t>
          </w:r>
          <w:r>
            <w:tab/>
          </w:r>
          <w:r>
            <w:fldChar w:fldCharType="begin"/>
          </w:r>
          <w:r>
            <w:instrText xml:space="preserve"> PAGEREF _Toc7780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>
          <w:pPr>
            <w:pStyle w:val="18"/>
            <w:tabs>
              <w:tab w:val="right" w:leader="dot" w:pos="8312"/>
            </w:tabs>
          </w:pPr>
          <w:r>
            <w:fldChar w:fldCharType="begin"/>
          </w:r>
          <w:r>
            <w:instrText xml:space="preserve"> HYPERLINK \l _Toc31207 </w:instrText>
          </w:r>
          <w:r>
            <w:fldChar w:fldCharType="separate"/>
          </w:r>
          <w:r>
            <w:rPr>
              <w:rFonts w:hint="eastAsia" w:ascii="Times New Roman" w:hAnsi="Times New Roman" w:eastAsia="思源宋体 CN Light" w:cs="宋体"/>
            </w:rPr>
            <w:t xml:space="preserve">4.3、 </w:t>
          </w:r>
          <w:r>
            <w:rPr>
              <w:rFonts w:hint="eastAsia"/>
            </w:rPr>
            <w:t>我的订单</w:t>
          </w:r>
          <w:r>
            <w:tab/>
          </w:r>
          <w:r>
            <w:fldChar w:fldCharType="begin"/>
          </w:r>
          <w:r>
            <w:instrText xml:space="preserve"> PAGEREF _Toc31207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>
          <w:pPr>
            <w:pStyle w:val="17"/>
            <w:tabs>
              <w:tab w:val="right" w:leader="dot" w:pos="8312"/>
            </w:tabs>
          </w:pPr>
          <w:r>
            <w:fldChar w:fldCharType="begin"/>
          </w:r>
          <w:r>
            <w:instrText xml:space="preserve"> HYPERLINK \l _Toc27163 </w:instrText>
          </w:r>
          <w:r>
            <w:fldChar w:fldCharType="separate"/>
          </w:r>
          <w:r>
            <w:rPr>
              <w:rFonts w:hint="eastAsia" w:ascii="Times New Roman" w:hAnsi="Times New Roman" w:eastAsia="思源宋体 CN Light" w:cs="宋体"/>
            </w:rPr>
            <w:t xml:space="preserve">五、 </w:t>
          </w:r>
          <w:r>
            <w:rPr>
              <w:rFonts w:hint="eastAsia"/>
            </w:rPr>
            <w:t>保函申请</w:t>
          </w:r>
          <w:r>
            <w:tab/>
          </w:r>
          <w:r>
            <w:fldChar w:fldCharType="begin"/>
          </w:r>
          <w:r>
            <w:instrText xml:space="preserve"> PAGEREF _Toc27163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>
          <w:pPr>
            <w:pStyle w:val="18"/>
            <w:tabs>
              <w:tab w:val="right" w:leader="dot" w:pos="8312"/>
            </w:tabs>
          </w:pPr>
          <w:r>
            <w:fldChar w:fldCharType="begin"/>
          </w:r>
          <w:r>
            <w:instrText xml:space="preserve"> HYPERLINK \l _Toc7033 </w:instrText>
          </w:r>
          <w:r>
            <w:fldChar w:fldCharType="separate"/>
          </w:r>
          <w:r>
            <w:rPr>
              <w:rFonts w:hint="eastAsia" w:ascii="Times New Roman" w:hAnsi="Times New Roman" w:eastAsia="思源宋体 CN Light" w:cs="宋体"/>
            </w:rPr>
            <w:t xml:space="preserve">5.1、 </w:t>
          </w:r>
          <w:r>
            <w:rPr>
              <w:rFonts w:hint="eastAsia"/>
            </w:rPr>
            <w:t>选择标段</w:t>
          </w:r>
          <w:r>
            <w:tab/>
          </w:r>
          <w:r>
            <w:fldChar w:fldCharType="begin"/>
          </w:r>
          <w:r>
            <w:instrText xml:space="preserve"> PAGEREF _Toc7033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>
          <w:pPr>
            <w:pStyle w:val="18"/>
            <w:tabs>
              <w:tab w:val="right" w:leader="dot" w:pos="8312"/>
            </w:tabs>
          </w:pPr>
          <w:r>
            <w:fldChar w:fldCharType="begin"/>
          </w:r>
          <w:r>
            <w:instrText xml:space="preserve"> HYPERLINK \l _Toc8928 </w:instrText>
          </w:r>
          <w:r>
            <w:fldChar w:fldCharType="separate"/>
          </w:r>
          <w:r>
            <w:rPr>
              <w:rFonts w:hint="eastAsia" w:ascii="Times New Roman" w:hAnsi="Times New Roman" w:eastAsia="思源宋体 CN Light" w:cs="宋体"/>
            </w:rPr>
            <w:t xml:space="preserve">5.2、 </w:t>
          </w:r>
          <w:r>
            <w:rPr>
              <w:rFonts w:hint="eastAsia"/>
            </w:rPr>
            <w:t>选择金融产品</w:t>
          </w:r>
          <w:r>
            <w:tab/>
          </w:r>
          <w:r>
            <w:fldChar w:fldCharType="begin"/>
          </w:r>
          <w:r>
            <w:instrText xml:space="preserve"> PAGEREF _Toc8928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fldChar w:fldCharType="end"/>
          </w:r>
        </w:p>
        <w:p>
          <w:pPr>
            <w:pStyle w:val="18"/>
            <w:tabs>
              <w:tab w:val="right" w:leader="dot" w:pos="8312"/>
            </w:tabs>
          </w:pPr>
          <w:r>
            <w:fldChar w:fldCharType="begin"/>
          </w:r>
          <w:r>
            <w:instrText xml:space="preserve"> HYPERLINK \l _Toc5586 </w:instrText>
          </w:r>
          <w:r>
            <w:fldChar w:fldCharType="separate"/>
          </w:r>
          <w:r>
            <w:rPr>
              <w:rFonts w:hint="eastAsia" w:ascii="Times New Roman" w:hAnsi="Times New Roman" w:eastAsia="思源宋体 CN Light" w:cs="宋体"/>
            </w:rPr>
            <w:t xml:space="preserve">5.3、 </w:t>
          </w:r>
          <w:r>
            <w:rPr>
              <w:rFonts w:hint="eastAsia"/>
            </w:rPr>
            <w:t>保费支付</w:t>
          </w:r>
          <w:r>
            <w:tab/>
          </w:r>
          <w:r>
            <w:fldChar w:fldCharType="begin"/>
          </w:r>
          <w:r>
            <w:instrText xml:space="preserve"> PAGEREF _Toc5586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fldChar w:fldCharType="end"/>
          </w:r>
        </w:p>
        <w:p>
          <w:pPr>
            <w:pStyle w:val="18"/>
            <w:tabs>
              <w:tab w:val="right" w:leader="dot" w:pos="8312"/>
            </w:tabs>
          </w:pPr>
          <w:r>
            <w:fldChar w:fldCharType="begin"/>
          </w:r>
          <w:r>
            <w:instrText xml:space="preserve"> HYPERLINK \l _Toc20088 </w:instrText>
          </w:r>
          <w:r>
            <w:fldChar w:fldCharType="separate"/>
          </w:r>
          <w:r>
            <w:rPr>
              <w:rFonts w:hint="eastAsia" w:ascii="Times New Roman" w:hAnsi="Times New Roman" w:eastAsia="思源宋体 CN Light" w:cs="宋体"/>
            </w:rPr>
            <w:t xml:space="preserve">5.4、 </w:t>
          </w:r>
          <w:r>
            <w:rPr>
              <w:rFonts w:hint="eastAsia"/>
            </w:rPr>
            <w:t>保函发放</w:t>
          </w:r>
          <w:r>
            <w:tab/>
          </w:r>
          <w:r>
            <w:fldChar w:fldCharType="begin"/>
          </w:r>
          <w:r>
            <w:instrText xml:space="preserve"> PAGEREF _Toc20088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fldChar w:fldCharType="end"/>
          </w:r>
        </w:p>
        <w:p>
          <w:pPr>
            <w:pStyle w:val="17"/>
            <w:tabs>
              <w:tab w:val="right" w:leader="dot" w:pos="8312"/>
            </w:tabs>
          </w:pPr>
          <w:r>
            <w:fldChar w:fldCharType="begin"/>
          </w:r>
          <w:r>
            <w:instrText xml:space="preserve"> HYPERLINK \l _Toc10561 </w:instrText>
          </w:r>
          <w:r>
            <w:fldChar w:fldCharType="separate"/>
          </w:r>
          <w:r>
            <w:rPr>
              <w:rFonts w:hint="eastAsia" w:ascii="Times New Roman" w:hAnsi="Times New Roman" w:eastAsia="思源宋体 CN Light" w:cs="宋体"/>
            </w:rPr>
            <w:t xml:space="preserve">六、 </w:t>
          </w:r>
          <w:r>
            <w:rPr>
              <w:rFonts w:hint="eastAsia"/>
            </w:rPr>
            <w:t>发票管理及退保</w:t>
          </w:r>
          <w:r>
            <w:tab/>
          </w:r>
          <w:r>
            <w:fldChar w:fldCharType="begin"/>
          </w:r>
          <w:r>
            <w:instrText xml:space="preserve"> PAGEREF _Toc10561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fldChar w:fldCharType="end"/>
          </w:r>
        </w:p>
        <w:p>
          <w:pPr>
            <w:pStyle w:val="18"/>
            <w:tabs>
              <w:tab w:val="right" w:leader="dot" w:pos="8312"/>
            </w:tabs>
          </w:pPr>
          <w:r>
            <w:fldChar w:fldCharType="begin"/>
          </w:r>
          <w:r>
            <w:instrText xml:space="preserve"> HYPERLINK \l _Toc7975 </w:instrText>
          </w:r>
          <w:r>
            <w:fldChar w:fldCharType="separate"/>
          </w:r>
          <w:r>
            <w:rPr>
              <w:rFonts w:hint="eastAsia" w:ascii="Times New Roman" w:hAnsi="Times New Roman" w:eastAsia="思源宋体 CN Light" w:cs="宋体"/>
            </w:rPr>
            <w:t xml:space="preserve">6.1、 </w:t>
          </w:r>
          <w:r>
            <w:rPr>
              <w:rFonts w:hint="eastAsia"/>
            </w:rPr>
            <w:t>发票管理</w:t>
          </w:r>
          <w:r>
            <w:tab/>
          </w:r>
          <w:r>
            <w:fldChar w:fldCharType="begin"/>
          </w:r>
          <w:r>
            <w:instrText xml:space="preserve"> PAGEREF _Toc7975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fldChar w:fldCharType="end"/>
          </w:r>
        </w:p>
        <w:p>
          <w:pPr>
            <w:pStyle w:val="18"/>
            <w:tabs>
              <w:tab w:val="right" w:leader="dot" w:pos="8312"/>
            </w:tabs>
          </w:pPr>
          <w:r>
            <w:fldChar w:fldCharType="begin"/>
          </w:r>
          <w:r>
            <w:instrText xml:space="preserve"> HYPERLINK \l _Toc11618 </w:instrText>
          </w:r>
          <w:r>
            <w:fldChar w:fldCharType="separate"/>
          </w:r>
          <w:r>
            <w:rPr>
              <w:rFonts w:hint="eastAsia" w:ascii="Times New Roman" w:hAnsi="Times New Roman" w:eastAsia="思源宋体 CN Light" w:cs="宋体"/>
            </w:rPr>
            <w:t xml:space="preserve">6.2、 </w:t>
          </w:r>
          <w:r>
            <w:rPr>
              <w:rFonts w:hint="eastAsia"/>
            </w:rPr>
            <w:t>退保</w:t>
          </w:r>
          <w:r>
            <w:tab/>
          </w:r>
          <w:r>
            <w:fldChar w:fldCharType="begin"/>
          </w:r>
          <w:r>
            <w:instrText xml:space="preserve"> PAGEREF _Toc11618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fldChar w:fldCharType="end"/>
          </w:r>
        </w:p>
        <w:p>
          <w:pPr>
            <w:pStyle w:val="17"/>
            <w:tabs>
              <w:tab w:val="right" w:leader="dot" w:pos="8312"/>
            </w:tabs>
          </w:pPr>
          <w:r>
            <w:fldChar w:fldCharType="begin"/>
          </w:r>
          <w:r>
            <w:instrText xml:space="preserve"> HYPERLINK \l _Toc27355 </w:instrText>
          </w:r>
          <w:r>
            <w:fldChar w:fldCharType="separate"/>
          </w:r>
          <w:r>
            <w:rPr>
              <w:rFonts w:hint="eastAsia" w:ascii="Times New Roman" w:hAnsi="Times New Roman" w:eastAsia="思源宋体 CN Light" w:cs="宋体"/>
            </w:rPr>
            <w:t xml:space="preserve">七、 </w:t>
          </w:r>
          <w:r>
            <w:rPr>
              <w:rFonts w:hint="eastAsia"/>
            </w:rPr>
            <w:t>开标查询电子保函</w:t>
          </w:r>
          <w:r>
            <w:rPr>
              <w:rFonts w:hint="eastAsia"/>
              <w:lang w:eastAsia="zh-CN"/>
            </w:rPr>
            <w:t>（</w:t>
          </w:r>
          <w:r>
            <w:rPr>
              <w:rFonts w:hint="eastAsia"/>
              <w:lang w:val="en-US" w:eastAsia="zh-CN"/>
            </w:rPr>
            <w:t>招标代理查询</w:t>
          </w:r>
          <w:r>
            <w:rPr>
              <w:rFonts w:hint="eastAsia"/>
              <w:lang w:eastAsia="zh-CN"/>
            </w:rPr>
            <w:t>）</w:t>
          </w:r>
          <w:r>
            <w:tab/>
          </w:r>
          <w:r>
            <w:fldChar w:fldCharType="begin"/>
          </w:r>
          <w:r>
            <w:instrText xml:space="preserve"> PAGEREF _Toc27355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fldChar w:fldCharType="end"/>
          </w:r>
        </w:p>
        <w:p>
          <w:pPr>
            <w:ind w:firstLine="0" w:firstLineChars="0"/>
          </w:pPr>
          <w:r>
            <w:fldChar w:fldCharType="end"/>
          </w:r>
        </w:p>
      </w:sdtContent>
    </w:sdt>
    <w:p>
      <w:r>
        <w:rPr>
          <w:rFonts w:hint="eastAsia"/>
        </w:rPr>
        <w:br w:type="page"/>
      </w:r>
    </w:p>
    <w:p>
      <w:pPr>
        <w:pStyle w:val="3"/>
        <w:ind w:firstLine="643"/>
      </w:pPr>
      <w:bookmarkStart w:id="0" w:name="_Toc30544"/>
      <w:r>
        <w:rPr>
          <w:rFonts w:hint="eastAsia"/>
        </w:rPr>
        <w:t>系统前期准备</w:t>
      </w:r>
      <w:bookmarkEnd w:id="0"/>
    </w:p>
    <w:p>
      <w:pPr>
        <w:pStyle w:val="4"/>
        <w:ind w:firstLine="602"/>
      </w:pPr>
      <w:bookmarkStart w:id="1" w:name="_Toc346183639"/>
      <w:bookmarkStart w:id="2" w:name="_Toc422146039"/>
      <w:bookmarkStart w:id="3" w:name="_Toc387133154"/>
      <w:bookmarkStart w:id="4" w:name="_Toc387148289"/>
      <w:bookmarkStart w:id="5" w:name="_Toc466902663"/>
      <w:bookmarkStart w:id="6" w:name="_Toc20529"/>
      <w:r>
        <w:rPr>
          <w:rFonts w:hint="eastAsia"/>
        </w:rPr>
        <w:t>浏览器配置</w:t>
      </w:r>
      <w:bookmarkEnd w:id="1"/>
      <w:bookmarkEnd w:id="2"/>
      <w:bookmarkEnd w:id="3"/>
      <w:bookmarkEnd w:id="4"/>
      <w:bookmarkEnd w:id="5"/>
      <w:bookmarkEnd w:id="6"/>
    </w:p>
    <w:p>
      <w:pPr>
        <w:pStyle w:val="5"/>
        <w:ind w:firstLine="562"/>
      </w:pPr>
      <w:bookmarkStart w:id="7" w:name="_Toc387133155"/>
      <w:bookmarkStart w:id="8" w:name="_Toc346183640"/>
      <w:bookmarkStart w:id="9" w:name="_Toc466902664"/>
      <w:bookmarkStart w:id="10" w:name="_Toc422146040"/>
      <w:bookmarkStart w:id="11" w:name="_Toc387148290"/>
      <w:bookmarkStart w:id="12" w:name="_Toc22415"/>
      <w:r>
        <w:rPr>
          <w:rFonts w:hint="eastAsia"/>
        </w:rPr>
        <w:t>Internet选项</w:t>
      </w:r>
      <w:bookmarkEnd w:id="7"/>
      <w:bookmarkEnd w:id="8"/>
      <w:bookmarkEnd w:id="9"/>
      <w:bookmarkEnd w:id="10"/>
      <w:bookmarkEnd w:id="11"/>
      <w:bookmarkEnd w:id="12"/>
    </w:p>
    <w:p>
      <w:r>
        <w:rPr>
          <w:rFonts w:hint="eastAsia"/>
        </w:rPr>
        <w:t>为了让系统插件能够正常工作，请按照以下步骤进行浏览器的配置。</w:t>
      </w:r>
    </w:p>
    <w:p>
      <w:r>
        <w:rPr>
          <w:rFonts w:hint="eastAsia"/>
        </w:rPr>
        <w:t>1、打开浏览器，在“工具”菜单→“Internet选项”</w:t>
      </w:r>
    </w:p>
    <w:p>
      <w:pPr>
        <w:pStyle w:val="47"/>
        <w:rPr>
          <w:rFonts w:hint="default"/>
        </w:rPr>
      </w:pPr>
      <w:r>
        <w:drawing>
          <wp:inline distT="0" distB="0" distL="0" distR="0">
            <wp:extent cx="3161665" cy="2794000"/>
            <wp:effectExtent l="0" t="0" r="635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61665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2、弹出对话框之后，请选择“安全”选项卡，具体的界面如下图：</w:t>
      </w:r>
    </w:p>
    <w:p>
      <w:pPr>
        <w:pStyle w:val="47"/>
        <w:rPr>
          <w:rFonts w:hint="default"/>
        </w:rPr>
      </w:pPr>
      <w:r>
        <w:drawing>
          <wp:inline distT="0" distB="0" distL="0" distR="0">
            <wp:extent cx="2655570" cy="2835275"/>
            <wp:effectExtent l="0" t="0" r="11430" b="952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283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3、点击绿色的“受信任的站点”的图片，会看到如下图所示的界面：</w:t>
      </w:r>
    </w:p>
    <w:p>
      <w:pPr>
        <w:pStyle w:val="47"/>
        <w:rPr>
          <w:rFonts w:hint="default"/>
        </w:rPr>
      </w:pPr>
      <w:r>
        <w:drawing>
          <wp:inline distT="0" distB="0" distL="0" distR="0">
            <wp:extent cx="3200400" cy="3821430"/>
            <wp:effectExtent l="0" t="0" r="0" b="762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82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4、点击“站点” 按钮，出现如下对话框：</w:t>
      </w:r>
    </w:p>
    <w:p>
      <w:pPr>
        <w:pStyle w:val="47"/>
        <w:rPr>
          <w:rFonts w:hint="default"/>
        </w:rPr>
      </w:pPr>
      <w:r>
        <w:drawing>
          <wp:inline distT="0" distB="0" distL="0" distR="0">
            <wp:extent cx="3752215" cy="3094990"/>
            <wp:effectExtent l="0" t="0" r="635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752381" cy="30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5、设置自定义安全级别，开放Activex的访问权限：</w:t>
      </w:r>
    </w:p>
    <w:p>
      <w:pPr>
        <w:pStyle w:val="47"/>
        <w:rPr>
          <w:rFonts w:hint="default"/>
        </w:rPr>
      </w:pPr>
      <w:r>
        <w:drawing>
          <wp:inline distT="0" distB="0" distL="0" distR="0">
            <wp:extent cx="3373120" cy="4105910"/>
            <wp:effectExtent l="0" t="0" r="0" b="889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73120" cy="410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t>①</w:t>
      </w:r>
      <w:r>
        <w:rPr>
          <w:rFonts w:hint="eastAsia"/>
        </w:rPr>
        <w:t>会出现一个窗口，把其中的Activex控件和插件的设置全部改为启用。</w:t>
      </w:r>
    </w:p>
    <w:p>
      <w:pPr>
        <w:pStyle w:val="47"/>
        <w:rPr>
          <w:rFonts w:hint="default"/>
        </w:rPr>
      </w:pPr>
      <w:r>
        <w:drawing>
          <wp:inline distT="0" distB="0" distL="0" distR="0">
            <wp:extent cx="3398520" cy="3631565"/>
            <wp:effectExtent l="0" t="0" r="0" b="698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98520" cy="363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②文件下载设置，开放文件下载的权限：设置为启用。</w:t>
      </w:r>
    </w:p>
    <w:p>
      <w:pPr>
        <w:pStyle w:val="47"/>
        <w:rPr>
          <w:rFonts w:hint="default"/>
        </w:rPr>
      </w:pPr>
      <w:r>
        <w:drawing>
          <wp:inline distT="0" distB="0" distL="0" distR="0">
            <wp:extent cx="3528060" cy="3709670"/>
            <wp:effectExtent l="0" t="0" r="0" b="508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8060" cy="370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ind w:firstLine="562"/>
      </w:pPr>
      <w:bookmarkStart w:id="13" w:name="_Toc466902665"/>
      <w:bookmarkStart w:id="14" w:name="_Toc387133156"/>
      <w:bookmarkStart w:id="15" w:name="_Toc346183641"/>
      <w:bookmarkStart w:id="16" w:name="_Toc422146041"/>
      <w:bookmarkStart w:id="17" w:name="_Toc387148291"/>
      <w:bookmarkStart w:id="18" w:name="_Toc18337"/>
      <w:r>
        <w:rPr>
          <w:rFonts w:hint="eastAsia"/>
        </w:rPr>
        <w:t>关闭拦截工具</w:t>
      </w:r>
      <w:bookmarkEnd w:id="13"/>
      <w:bookmarkEnd w:id="14"/>
      <w:bookmarkEnd w:id="15"/>
      <w:bookmarkEnd w:id="16"/>
      <w:bookmarkEnd w:id="17"/>
      <w:bookmarkEnd w:id="18"/>
    </w:p>
    <w:p>
      <w:r>
        <w:rPr>
          <w:rFonts w:hint="eastAsia"/>
        </w:rPr>
        <w:t>上述操作完成后，如果系统中某些功能仍不能使用，请将拦截工具关闭再试用。比如在windows工具栏中关闭弹出窗口阻止程序的操作：</w:t>
      </w:r>
    </w:p>
    <w:p>
      <w:pPr>
        <w:pStyle w:val="47"/>
        <w:rPr>
          <w:rFonts w:hint="default"/>
        </w:rPr>
      </w:pPr>
      <w:r>
        <w:drawing>
          <wp:inline distT="0" distB="0" distL="0" distR="0">
            <wp:extent cx="5098415" cy="2320290"/>
            <wp:effectExtent l="0" t="0" r="6985" b="381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98415" cy="23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ind w:firstLine="643"/>
      </w:pPr>
      <w:bookmarkStart w:id="19" w:name="_Toc28759"/>
      <w:r>
        <w:rPr>
          <w:rFonts w:hint="eastAsia"/>
        </w:rPr>
        <w:t>平台登录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CA</w:t>
      </w:r>
      <w:r>
        <w:rPr>
          <w:rFonts w:hint="eastAsia"/>
          <w:lang w:eastAsia="zh-CN"/>
        </w:rPr>
        <w:t>）</w:t>
      </w:r>
      <w:bookmarkEnd w:id="19"/>
    </w:p>
    <w:p>
      <w:r>
        <w:rPr>
          <w:rFonts w:hint="eastAsia"/>
        </w:rPr>
        <w:t>直接访问金融服务平台</w:t>
      </w:r>
    </w:p>
    <w:p>
      <w:pPr>
        <w:ind w:firstLine="0" w:firstLineChars="0"/>
      </w:pPr>
      <w:r>
        <w:rPr>
          <w:rFonts w:hint="eastAsia"/>
        </w:rPr>
        <w:t>平台地址 ：</w:t>
      </w:r>
      <w:r>
        <w:rPr>
          <w:u w:val="single"/>
        </w:rPr>
        <w:t>http://ggzy.klmy.gov.cn/epoint-financeplatform-web/finance/index</w:t>
      </w:r>
      <w:r>
        <w:rPr>
          <w:rFonts w:hint="eastAsia"/>
        </w:rPr>
        <w:t xml:space="preserve"> 使用CA锁登录。</w:t>
      </w:r>
    </w:p>
    <w:p>
      <w:pPr>
        <w:pStyle w:val="47"/>
        <w:jc w:val="both"/>
      </w:pPr>
      <w:r>
        <w:drawing>
          <wp:inline distT="0" distB="0" distL="114300" distR="114300">
            <wp:extent cx="5272405" cy="2403475"/>
            <wp:effectExtent l="0" t="0" r="635" b="4445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rcRect t="1620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0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ind w:firstLine="643"/>
      </w:pPr>
      <w:bookmarkStart w:id="20" w:name="_Toc10531"/>
      <w:r>
        <w:rPr>
          <w:rFonts w:hint="eastAsia"/>
        </w:rPr>
        <w:t>平台登录（单点登录）</w:t>
      </w:r>
      <w:bookmarkEnd w:id="20"/>
    </w:p>
    <w:p>
      <w:pPr>
        <w:numPr>
          <w:ilvl w:val="0"/>
          <w:numId w:val="2"/>
        </w:numPr>
      </w:pPr>
      <w:r>
        <w:rPr>
          <w:rFonts w:hint="eastAsia"/>
        </w:rPr>
        <w:t>打开克拉玛依公共资源交易平台，使用账号密码或CA锁登录</w:t>
      </w:r>
    </w:p>
    <w:p>
      <w:pPr>
        <w:pStyle w:val="2"/>
        <w:ind w:firstLine="0" w:firstLineChars="0"/>
      </w:pPr>
      <w:r>
        <w:drawing>
          <wp:inline distT="0" distB="0" distL="114300" distR="114300">
            <wp:extent cx="5272405" cy="2208530"/>
            <wp:effectExtent l="0" t="0" r="635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23"/>
                    <a:srcRect t="1808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20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</w:pPr>
      <w:r>
        <w:rPr>
          <w:rFonts w:hint="eastAsia"/>
        </w:rPr>
        <w:t>2、登录平台后，在“招标公告”中选择对应的标段，点击文件下载，填写好相关信息后，点击下载招标文件，如下图：</w:t>
      </w:r>
    </w:p>
    <w:p>
      <w:pPr>
        <w:pStyle w:val="2"/>
        <w:ind w:left="420" w:leftChars="200" w:firstLine="0" w:firstLineChars="0"/>
      </w:pPr>
      <w:r>
        <w:drawing>
          <wp:inline distT="0" distB="0" distL="114300" distR="114300">
            <wp:extent cx="5276215" cy="1991995"/>
            <wp:effectExtent l="0" t="0" r="12065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24"/>
                    <a:srcRect b="8087"/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199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420" w:leftChars="200" w:firstLine="0" w:firstLineChars="0"/>
      </w:pPr>
      <w:r>
        <w:rPr>
          <w:rFonts w:hint="eastAsia"/>
        </w:rPr>
        <w:t>3、招标文件下载成功后，点击“我的项目”菜单，选择对应标段点击“项目流程”按钮，进入交易进程页面。</w:t>
      </w:r>
    </w:p>
    <w:p>
      <w:pPr>
        <w:pStyle w:val="2"/>
        <w:ind w:left="420" w:leftChars="200" w:firstLine="0" w:firstLineChars="0"/>
      </w:pPr>
      <w:r>
        <w:drawing>
          <wp:inline distT="0" distB="0" distL="114300" distR="114300">
            <wp:extent cx="5266690" cy="2032635"/>
            <wp:effectExtent l="0" t="0" r="10160" b="571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03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210" w:firstLine="0" w:firstLineChars="0"/>
      </w:pPr>
      <w:r>
        <w:rPr>
          <w:rFonts w:hint="eastAsia"/>
        </w:rPr>
        <w:t>4、点击上方“保证金查询”-“立即申请”可进入平台申请电子保函业务</w:t>
      </w:r>
    </w:p>
    <w:p>
      <w:pPr>
        <w:pStyle w:val="2"/>
        <w:ind w:left="420" w:leftChars="200" w:firstLine="0" w:firstLineChars="0"/>
      </w:pPr>
      <w:r>
        <w:drawing>
          <wp:inline distT="0" distB="0" distL="114300" distR="114300">
            <wp:extent cx="5266055" cy="2008505"/>
            <wp:effectExtent l="0" t="0" r="10795" b="1079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00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420" w:leftChars="200" w:firstLine="0" w:firstLineChars="0"/>
      </w:pPr>
      <w:r>
        <w:drawing>
          <wp:inline distT="0" distB="0" distL="114300" distR="114300">
            <wp:extent cx="5273040" cy="2177415"/>
            <wp:effectExtent l="0" t="0" r="3810" b="13335"/>
            <wp:docPr id="1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0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17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pStyle w:val="47"/>
        <w:jc w:val="both"/>
        <w:rPr>
          <w:rFonts w:hint="default"/>
        </w:rPr>
      </w:pPr>
    </w:p>
    <w:p>
      <w:pPr>
        <w:pStyle w:val="3"/>
        <w:ind w:firstLine="643"/>
      </w:pPr>
      <w:bookmarkStart w:id="21" w:name="_Toc19687"/>
      <w:r>
        <w:rPr>
          <w:rFonts w:hint="eastAsia"/>
        </w:rPr>
        <w:t>用户中心</w:t>
      </w:r>
      <w:bookmarkEnd w:id="21"/>
    </w:p>
    <w:p>
      <w:r>
        <w:rPr>
          <w:rFonts w:hint="eastAsia"/>
        </w:rPr>
        <w:t>登录克拉玛依市公共资源交易平台</w:t>
      </w:r>
      <w:r>
        <w:rPr>
          <w:rFonts w:hint="eastAsia"/>
          <w:lang w:val="en-US" w:eastAsia="zh-CN"/>
        </w:rPr>
        <w:t>电子保函系统</w:t>
      </w:r>
      <w:r>
        <w:rPr>
          <w:rFonts w:hint="eastAsia"/>
        </w:rPr>
        <w:t>后，点击右上角“用户中心”，进入用户中心界面，如下图：</w:t>
      </w:r>
    </w:p>
    <w:p>
      <w:pPr>
        <w:ind w:firstLine="0" w:firstLineChars="0"/>
      </w:pPr>
      <w:r>
        <w:drawing>
          <wp:inline distT="0" distB="0" distL="114300" distR="114300">
            <wp:extent cx="5269230" cy="2393950"/>
            <wp:effectExtent l="0" t="0" r="11430" b="6350"/>
            <wp:docPr id="2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39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ind w:firstLine="602"/>
      </w:pPr>
      <w:bookmarkStart w:id="22" w:name="_Toc593"/>
      <w:r>
        <w:rPr>
          <w:rFonts w:hint="eastAsia"/>
        </w:rPr>
        <w:t>账户中心</w:t>
      </w:r>
      <w:bookmarkEnd w:id="22"/>
    </w:p>
    <w:p>
      <w:r>
        <w:rPr>
          <w:rFonts w:hint="eastAsia"/>
        </w:rPr>
        <w:t>基本功能：企业信息维护。投标人在登录电子保函平台后，保函平台会从交易平台获取企业的部分信息，投标人可以在“用户中心-企业信息”中完善企业其他信息。</w:t>
      </w:r>
    </w:p>
    <w:p>
      <w:r>
        <w:rPr>
          <w:rFonts w:hint="eastAsia"/>
        </w:rPr>
        <w:t>操作步骤：</w:t>
      </w:r>
    </w:p>
    <w:p>
      <w:r>
        <w:rPr>
          <w:rFonts w:hint="eastAsia"/>
        </w:rPr>
        <w:t>1、直接在企业信息页面完成企业基本信息，完成后点击“保存企业信息”，如下图：</w:t>
      </w:r>
    </w:p>
    <w:p>
      <w:pPr>
        <w:pStyle w:val="2"/>
        <w:ind w:firstLine="0" w:firstLineChars="0"/>
      </w:pPr>
    </w:p>
    <w:p>
      <w:pPr>
        <w:pStyle w:val="2"/>
        <w:ind w:firstLine="0" w:firstLineChars="0"/>
      </w:pPr>
      <w:r>
        <w:drawing>
          <wp:inline distT="0" distB="0" distL="114300" distR="114300">
            <wp:extent cx="5268595" cy="2643505"/>
            <wp:effectExtent l="0" t="0" r="4445" b="8255"/>
            <wp:docPr id="2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3"/>
                    <pic:cNvPicPr>
                      <a:picLocks noChangeAspect="1"/>
                    </pic:cNvPicPr>
                  </pic:nvPicPr>
                  <pic:blipFill>
                    <a:blip r:embed="rId29"/>
                    <a:srcRect t="170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4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</w:pPr>
    </w:p>
    <w:p>
      <w:pPr>
        <w:pStyle w:val="4"/>
        <w:ind w:firstLine="602"/>
      </w:pPr>
      <w:bookmarkStart w:id="23" w:name="_Toc7780"/>
      <w:r>
        <w:rPr>
          <w:rFonts w:hint="eastAsia"/>
        </w:rPr>
        <w:t>我的消息</w:t>
      </w:r>
      <w:bookmarkEnd w:id="23"/>
    </w:p>
    <w:p>
      <w:r>
        <w:rPr>
          <w:rFonts w:hint="eastAsia"/>
        </w:rPr>
        <w:t>基本功能：查看</w:t>
      </w:r>
      <w:r>
        <w:rPr>
          <w:rFonts w:hint="eastAsia"/>
          <w:lang w:val="en-US" w:eastAsia="zh-CN"/>
        </w:rPr>
        <w:t>电子保函</w:t>
      </w:r>
      <w:r>
        <w:rPr>
          <w:rFonts w:hint="eastAsia"/>
        </w:rPr>
        <w:t>相关消息，点击对应消息可查看详情</w:t>
      </w:r>
    </w:p>
    <w:p>
      <w:pPr>
        <w:ind w:firstLine="0" w:firstLineChars="0"/>
      </w:pPr>
      <w:r>
        <w:drawing>
          <wp:inline distT="0" distB="0" distL="114300" distR="114300">
            <wp:extent cx="5277485" cy="1844675"/>
            <wp:effectExtent l="0" t="0" r="10795" b="14605"/>
            <wp:docPr id="3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4"/>
                    <pic:cNvPicPr>
                      <a:picLocks noChangeAspect="1"/>
                    </pic:cNvPicPr>
                  </pic:nvPicPr>
                  <pic:blipFill>
                    <a:blip r:embed="rId30"/>
                    <a:srcRect t="17578" b="15930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ind w:firstLine="602"/>
      </w:pPr>
      <w:bookmarkStart w:id="24" w:name="_Toc31207"/>
      <w:r>
        <w:rPr>
          <w:rFonts w:hint="eastAsia"/>
        </w:rPr>
        <w:t>我的订单</w:t>
      </w:r>
      <w:bookmarkEnd w:id="24"/>
    </w:p>
    <w:p>
      <w:r>
        <w:rPr>
          <w:rFonts w:hint="eastAsia"/>
        </w:rPr>
        <w:t>基本功能：查看我申请的</w:t>
      </w:r>
      <w:r>
        <w:rPr>
          <w:rFonts w:hint="eastAsia"/>
          <w:lang w:val="en-US" w:eastAsia="zh-CN"/>
        </w:rPr>
        <w:t>电子保函</w:t>
      </w:r>
      <w:r>
        <w:rPr>
          <w:rFonts w:hint="eastAsia"/>
        </w:rPr>
        <w:t>信息，可查看具体申请流程</w:t>
      </w:r>
    </w:p>
    <w:p>
      <w:pPr>
        <w:pStyle w:val="2"/>
        <w:ind w:firstLine="0" w:firstLineChars="0"/>
      </w:pPr>
      <w:r>
        <w:drawing>
          <wp:inline distT="0" distB="0" distL="114300" distR="114300">
            <wp:extent cx="5273675" cy="2077720"/>
            <wp:effectExtent l="0" t="0" r="6985" b="2540"/>
            <wp:docPr id="4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5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07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</w:pPr>
      <w:r>
        <w:drawing>
          <wp:inline distT="0" distB="0" distL="114300" distR="114300">
            <wp:extent cx="5270500" cy="2437130"/>
            <wp:effectExtent l="0" t="0" r="10160" b="3175"/>
            <wp:docPr id="4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6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3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ind w:firstLine="643"/>
      </w:pPr>
      <w:bookmarkStart w:id="25" w:name="_Toc28288"/>
      <w:bookmarkStart w:id="26" w:name="_Toc511374925"/>
      <w:bookmarkStart w:id="27" w:name="_Toc27163"/>
      <w:r>
        <w:rPr>
          <w:rFonts w:hint="eastAsia"/>
        </w:rPr>
        <w:t>保函申请</w:t>
      </w:r>
      <w:bookmarkEnd w:id="25"/>
      <w:bookmarkEnd w:id="26"/>
      <w:bookmarkEnd w:id="27"/>
    </w:p>
    <w:p>
      <w:pPr>
        <w:pStyle w:val="4"/>
        <w:tabs>
          <w:tab w:val="left" w:pos="0"/>
        </w:tabs>
        <w:ind w:firstLine="602"/>
      </w:pPr>
      <w:bookmarkStart w:id="28" w:name="_Toc32572"/>
      <w:bookmarkStart w:id="29" w:name="_Toc7033"/>
      <w:r>
        <w:rPr>
          <w:rFonts w:hint="eastAsia"/>
        </w:rPr>
        <w:t>选择标段</w:t>
      </w:r>
      <w:bookmarkEnd w:id="28"/>
      <w:bookmarkEnd w:id="29"/>
    </w:p>
    <w:p>
      <w:r>
        <w:rPr>
          <w:rFonts w:hint="eastAsia"/>
        </w:rPr>
        <w:t>操作步骤：</w:t>
      </w:r>
    </w:p>
    <w:p>
      <w:r>
        <w:rPr>
          <w:rFonts w:hint="eastAsia"/>
        </w:rPr>
        <w:t>1、在保函平台首页面，点击“立即申请”按钮，如下图：</w:t>
      </w:r>
    </w:p>
    <w:p>
      <w:pPr>
        <w:ind w:firstLine="0" w:firstLineChars="0"/>
      </w:pPr>
      <w:r>
        <w:drawing>
          <wp:inline distT="0" distB="0" distL="114300" distR="114300">
            <wp:extent cx="5274310" cy="2169795"/>
            <wp:effectExtent l="0" t="0" r="6350" b="3810"/>
            <wp:docPr id="4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8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ind w:firstLineChars="0"/>
      </w:pPr>
      <w:r>
        <w:rPr>
          <w:rFonts w:hint="eastAsia"/>
        </w:rPr>
        <w:t>进入标段选择页面，页面展示所有可申请保函的标段，选择对应标段，点击后方“立即申请”按钮，进入下一步，如下图：</w:t>
      </w:r>
    </w:p>
    <w:p>
      <w:pPr>
        <w:pStyle w:val="2"/>
        <w:ind w:firstLine="0" w:firstLineChars="0"/>
      </w:pPr>
      <w:r>
        <w:drawing>
          <wp:inline distT="0" distB="0" distL="114300" distR="114300">
            <wp:extent cx="5231130" cy="2745105"/>
            <wp:effectExtent l="0" t="0" r="11430" b="13335"/>
            <wp:docPr id="4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9"/>
                    <pic:cNvPicPr>
                      <a:picLocks noChangeAspect="1"/>
                    </pic:cNvPicPr>
                  </pic:nvPicPr>
                  <pic:blipFill>
                    <a:blip r:embed="rId34"/>
                    <a:srcRect r="723"/>
                    <a:stretch>
                      <a:fillRect/>
                    </a:stretch>
                  </pic:blipFill>
                  <pic:spPr>
                    <a:xfrm>
                      <a:off x="0" y="0"/>
                      <a:ext cx="5231130" cy="274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0"/>
        </w:tabs>
        <w:ind w:firstLine="602"/>
      </w:pPr>
      <w:bookmarkStart w:id="30" w:name="_Toc29843"/>
      <w:bookmarkStart w:id="31" w:name="_Toc8928"/>
      <w:bookmarkStart w:id="32" w:name="_Toc31320"/>
      <w:r>
        <w:rPr>
          <w:rFonts w:hint="eastAsia"/>
        </w:rPr>
        <w:t>选择金融产品</w:t>
      </w:r>
      <w:bookmarkEnd w:id="30"/>
      <w:bookmarkEnd w:id="31"/>
    </w:p>
    <w:p>
      <w:pPr>
        <w:rPr>
          <w:rFonts w:ascii="思源宋体 CN" w:hAnsi="思源宋体 CN" w:eastAsia="思源宋体 CN" w:cstheme="minorBidi"/>
          <w:szCs w:val="21"/>
        </w:rPr>
      </w:pPr>
      <w:r>
        <w:rPr>
          <w:rFonts w:hint="eastAsia"/>
        </w:rPr>
        <w:t>操作步骤：</w:t>
      </w:r>
    </w:p>
    <w:p>
      <w:r>
        <w:rPr>
          <w:rFonts w:hint="eastAsia"/>
        </w:rPr>
        <w:t>1、选择标段后，进入选择金融产品页面，</w:t>
      </w:r>
      <w:r>
        <w:rPr>
          <w:rFonts w:hint="eastAsia"/>
          <w:lang w:val="en-US" w:eastAsia="zh-CN"/>
        </w:rPr>
        <w:t>自行</w:t>
      </w:r>
      <w:r>
        <w:rPr>
          <w:rFonts w:hint="eastAsia"/>
        </w:rPr>
        <w:t>选择</w:t>
      </w:r>
      <w:r>
        <w:rPr>
          <w:rFonts w:hint="eastAsia"/>
          <w:lang w:val="en-US" w:eastAsia="zh-CN"/>
        </w:rPr>
        <w:t>任一</w:t>
      </w:r>
      <w:r>
        <w:rPr>
          <w:rFonts w:hint="eastAsia"/>
        </w:rPr>
        <w:t>金融产品，如下图。</w:t>
      </w:r>
    </w:p>
    <w:p>
      <w:pPr>
        <w:ind w:firstLine="0" w:firstLineChars="0"/>
      </w:pPr>
      <w:r>
        <w:drawing>
          <wp:inline distT="0" distB="0" distL="114300" distR="114300">
            <wp:extent cx="5268595" cy="2350135"/>
            <wp:effectExtent l="0" t="0" r="12065" b="10160"/>
            <wp:docPr id="4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0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35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4"/>
        </w:numPr>
        <w:ind w:firstLine="420"/>
        <w:rPr>
          <w:rFonts w:ascii="Times New Roman" w:hAnsi="Times New Roman" w:cs="Times New Roman"/>
          <w:color w:val="auto"/>
          <w:szCs w:val="24"/>
        </w:rPr>
      </w:pPr>
      <w:r>
        <w:rPr>
          <w:rFonts w:hint="eastAsia" w:ascii="Times New Roman" w:hAnsi="Times New Roman" w:cs="Times New Roman"/>
          <w:color w:val="auto"/>
          <w:szCs w:val="24"/>
        </w:rPr>
        <w:t>点击对应保函机构，查看产品名称、收费规则、基本要求信息，确认完成后点击“确认”按钮，如下图：</w:t>
      </w:r>
    </w:p>
    <w:p>
      <w:pPr>
        <w:pStyle w:val="2"/>
        <w:ind w:firstLine="0" w:firstLineChars="0"/>
      </w:pPr>
      <w:r>
        <w:drawing>
          <wp:inline distT="0" distB="0" distL="114300" distR="114300">
            <wp:extent cx="5275580" cy="2454910"/>
            <wp:effectExtent l="0" t="0" r="5080" b="12065"/>
            <wp:docPr id="4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245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32"/>
    <w:p>
      <w:pPr>
        <w:pStyle w:val="4"/>
        <w:tabs>
          <w:tab w:val="left" w:pos="0"/>
        </w:tabs>
        <w:ind w:firstLine="602"/>
      </w:pPr>
      <w:bookmarkStart w:id="33" w:name="_Toc11898"/>
      <w:bookmarkStart w:id="34" w:name="_Toc5586"/>
      <w:r>
        <w:rPr>
          <w:rFonts w:hint="eastAsia"/>
        </w:rPr>
        <w:t>保费支付</w:t>
      </w:r>
      <w:bookmarkEnd w:id="33"/>
      <w:bookmarkEnd w:id="34"/>
    </w:p>
    <w:p>
      <w:pPr>
        <w:numPr>
          <w:ilvl w:val="0"/>
          <w:numId w:val="5"/>
        </w:numPr>
      </w:pPr>
      <w:r>
        <w:rPr>
          <w:rFonts w:hint="eastAsia"/>
        </w:rPr>
        <w:t>跳转至金融机构进行保费支付操作。</w:t>
      </w:r>
    </w:p>
    <w:p>
      <w:pPr>
        <w:pStyle w:val="2"/>
        <w:ind w:firstLine="0" w:firstLineChars="0"/>
      </w:pPr>
      <w:r>
        <w:drawing>
          <wp:inline distT="0" distB="0" distL="114300" distR="114300">
            <wp:extent cx="5268595" cy="2903220"/>
            <wp:effectExtent l="0" t="0" r="12065" b="3810"/>
            <wp:docPr id="4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12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0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2、确认投保信息。</w:t>
      </w:r>
    </w:p>
    <w:p>
      <w:pPr>
        <w:ind w:firstLine="0" w:firstLineChars="0"/>
      </w:pPr>
      <w:r>
        <w:drawing>
          <wp:inline distT="0" distB="0" distL="114300" distR="114300">
            <wp:extent cx="5277485" cy="2628900"/>
            <wp:effectExtent l="0" t="0" r="3175" b="11430"/>
            <wp:docPr id="4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14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3、签订合同协议。</w:t>
      </w:r>
    </w:p>
    <w:p>
      <w:r>
        <w:drawing>
          <wp:inline distT="0" distB="0" distL="114300" distR="114300">
            <wp:extent cx="5273040" cy="2633345"/>
            <wp:effectExtent l="0" t="0" r="7620" b="6985"/>
            <wp:docPr id="50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15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63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4、完善相关信息后，点击“在线支付”按钮，并支付保费。</w:t>
      </w:r>
    </w:p>
    <w:p/>
    <w:p>
      <w:pPr>
        <w:pStyle w:val="2"/>
        <w:ind w:firstLine="420"/>
      </w:pPr>
      <w:r>
        <w:drawing>
          <wp:inline distT="0" distB="0" distL="114300" distR="114300">
            <wp:extent cx="5271770" cy="2441575"/>
            <wp:effectExtent l="0" t="0" r="8890" b="12065"/>
            <wp:docPr id="5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16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0"/>
        </w:tabs>
        <w:ind w:firstLine="602"/>
      </w:pPr>
      <w:bookmarkStart w:id="35" w:name="_Toc20754"/>
      <w:bookmarkStart w:id="36" w:name="_Toc20088"/>
      <w:r>
        <w:rPr>
          <w:rFonts w:hint="eastAsia"/>
        </w:rPr>
        <w:t>保函发放</w:t>
      </w:r>
      <w:bookmarkEnd w:id="35"/>
      <w:bookmarkEnd w:id="36"/>
    </w:p>
    <w:p>
      <w:r>
        <w:rPr>
          <w:rFonts w:hint="eastAsia"/>
        </w:rPr>
        <w:t>保函发放页面，点击“在线预览”、“下载PDF”按钮，可以在线查看、下载对应文件，开标前投标单位只能下载密文保函。</w:t>
      </w:r>
    </w:p>
    <w:p>
      <w:pPr>
        <w:pStyle w:val="2"/>
        <w:ind w:firstLine="0" w:firstLineChars="0"/>
      </w:pPr>
      <w:r>
        <w:drawing>
          <wp:inline distT="0" distB="0" distL="114300" distR="114300">
            <wp:extent cx="5269230" cy="2986405"/>
            <wp:effectExtent l="0" t="0" r="11430" b="635"/>
            <wp:docPr id="52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17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98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ind w:firstLine="643"/>
      </w:pPr>
      <w:bookmarkStart w:id="37" w:name="_Toc10561"/>
      <w:r>
        <w:rPr>
          <w:rFonts w:hint="eastAsia"/>
        </w:rPr>
        <w:t>发票管理及退保</w:t>
      </w:r>
      <w:bookmarkEnd w:id="37"/>
    </w:p>
    <w:p>
      <w:pPr>
        <w:pStyle w:val="4"/>
        <w:tabs>
          <w:tab w:val="left" w:pos="0"/>
        </w:tabs>
        <w:ind w:firstLine="602"/>
      </w:pPr>
      <w:bookmarkStart w:id="38" w:name="_Toc7975"/>
      <w:r>
        <w:rPr>
          <w:rFonts w:hint="eastAsia"/>
        </w:rPr>
        <w:t>发票管理</w:t>
      </w:r>
      <w:bookmarkEnd w:id="38"/>
    </w:p>
    <w:p>
      <w:r>
        <w:rPr>
          <w:rFonts w:hint="eastAsia"/>
        </w:rPr>
        <w:t>功能说明：支付完保费后进行开票。</w:t>
      </w:r>
    </w:p>
    <w:p>
      <w:pPr>
        <w:numPr>
          <w:ilvl w:val="0"/>
          <w:numId w:val="6"/>
        </w:numPr>
      </w:pPr>
      <w:r>
        <w:rPr>
          <w:rFonts w:hint="eastAsia"/>
        </w:rPr>
        <w:t>在保函发放页面，点击“发票管理”，进入发票管理界面。</w:t>
      </w:r>
    </w:p>
    <w:p>
      <w:pPr>
        <w:pStyle w:val="2"/>
        <w:ind w:firstLine="0" w:firstLineChars="0"/>
      </w:pPr>
      <w:r>
        <w:drawing>
          <wp:inline distT="0" distB="0" distL="114300" distR="114300">
            <wp:extent cx="5269230" cy="2576195"/>
            <wp:effectExtent l="0" t="0" r="11430" b="10795"/>
            <wp:docPr id="53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18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57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</w:pPr>
      <w:r>
        <w:drawing>
          <wp:inline distT="0" distB="0" distL="114300" distR="114300">
            <wp:extent cx="5266055" cy="2225040"/>
            <wp:effectExtent l="0" t="0" r="6985" b="0"/>
            <wp:docPr id="55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19"/>
                    <pic:cNvPicPr>
                      <a:picLocks noChangeAspect="1"/>
                    </pic:cNvPicPr>
                  </pic:nvPicPr>
                  <pic:blipFill>
                    <a:blip r:embed="rId43"/>
                    <a:srcRect t="2341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6"/>
        </w:numPr>
      </w:pPr>
      <w:r>
        <w:rPr>
          <w:rFonts w:hint="eastAsia"/>
        </w:rPr>
        <w:t>开票完成后可直接下载。</w:t>
      </w:r>
    </w:p>
    <w:p>
      <w:pPr>
        <w:pStyle w:val="4"/>
        <w:tabs>
          <w:tab w:val="left" w:pos="0"/>
        </w:tabs>
        <w:ind w:firstLine="602"/>
      </w:pPr>
      <w:bookmarkStart w:id="39" w:name="_Toc11618"/>
      <w:r>
        <w:rPr>
          <w:rFonts w:hint="eastAsia"/>
        </w:rPr>
        <w:t>退保</w:t>
      </w:r>
      <w:bookmarkEnd w:id="39"/>
    </w:p>
    <w:p>
      <w:r>
        <w:rPr>
          <w:rFonts w:hint="eastAsia"/>
        </w:rPr>
        <w:t>功能说明：取消保证金担保，申请退回已缴纳的保费。</w:t>
      </w:r>
    </w:p>
    <w:p>
      <w:pPr>
        <w:numPr>
          <w:ilvl w:val="0"/>
          <w:numId w:val="7"/>
        </w:numPr>
      </w:pPr>
      <w:r>
        <w:rPr>
          <w:rFonts w:hint="eastAsia"/>
        </w:rPr>
        <w:t>在保函发放页面，点击“退保”，进入退保申请界面。</w:t>
      </w:r>
    </w:p>
    <w:p>
      <w:pPr>
        <w:pStyle w:val="2"/>
        <w:ind w:firstLine="0" w:firstLineChars="0"/>
      </w:pPr>
      <w:r>
        <w:drawing>
          <wp:inline distT="0" distB="0" distL="114300" distR="114300">
            <wp:extent cx="5271770" cy="2607945"/>
            <wp:effectExtent l="0" t="0" r="8890" b="5715"/>
            <wp:docPr id="56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20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60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</w:pPr>
      <w:r>
        <w:drawing>
          <wp:inline distT="0" distB="0" distL="114300" distR="114300">
            <wp:extent cx="5273040" cy="1842135"/>
            <wp:effectExtent l="0" t="0" r="0" b="1905"/>
            <wp:docPr id="57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21"/>
                    <pic:cNvPicPr>
                      <a:picLocks noChangeAspect="1"/>
                    </pic:cNvPicPr>
                  </pic:nvPicPr>
                  <pic:blipFill>
                    <a:blip r:embed="rId45"/>
                    <a:srcRect t="28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84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7"/>
        </w:numPr>
      </w:pPr>
      <w:r>
        <w:rPr>
          <w:rFonts w:hint="eastAsia"/>
        </w:rPr>
        <w:t>填写退保原因，点击“提交退保申请”按钮，等待</w:t>
      </w:r>
      <w:r>
        <w:rPr>
          <w:rFonts w:hint="eastAsia"/>
          <w:lang w:val="en-US" w:eastAsia="zh-CN"/>
        </w:rPr>
        <w:t>金融</w:t>
      </w:r>
      <w:r>
        <w:rPr>
          <w:rFonts w:hint="eastAsia"/>
        </w:rPr>
        <w:t>机构受理。</w:t>
      </w:r>
    </w:p>
    <w:p>
      <w:pPr>
        <w:pStyle w:val="2"/>
        <w:ind w:firstLine="0" w:firstLineChars="0"/>
      </w:pPr>
      <w:r>
        <w:drawing>
          <wp:inline distT="0" distB="0" distL="114300" distR="114300">
            <wp:extent cx="5271770" cy="1897380"/>
            <wp:effectExtent l="0" t="0" r="1270" b="7620"/>
            <wp:docPr id="3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8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7"/>
        </w:numPr>
      </w:pPr>
      <w:r>
        <w:rPr>
          <w:rFonts w:hint="eastAsia"/>
        </w:rPr>
        <w:t>退保受理成功后，保费退回基本户，在我的订单中显示已退保。</w:t>
      </w:r>
    </w:p>
    <w:p>
      <w:pPr>
        <w:pStyle w:val="2"/>
        <w:ind w:firstLine="0" w:firstLineChars="0"/>
      </w:pPr>
      <w:r>
        <w:drawing>
          <wp:inline distT="0" distB="0" distL="114300" distR="114300">
            <wp:extent cx="5275580" cy="2351405"/>
            <wp:effectExtent l="0" t="0" r="5080" b="8890"/>
            <wp:docPr id="58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22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235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ind w:firstLine="643"/>
      </w:pPr>
      <w:bookmarkStart w:id="40" w:name="_Toc27355"/>
      <w:r>
        <w:rPr>
          <w:rFonts w:hint="eastAsia"/>
        </w:rPr>
        <w:t>开标查询电子保函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招标代理查询</w:t>
      </w:r>
      <w:r>
        <w:rPr>
          <w:rFonts w:hint="eastAsia"/>
          <w:lang w:eastAsia="zh-CN"/>
        </w:rPr>
        <w:t>）</w:t>
      </w:r>
      <w:bookmarkEnd w:id="40"/>
    </w:p>
    <w:p>
      <w:pPr>
        <w:numPr>
          <w:ilvl w:val="0"/>
          <w:numId w:val="8"/>
        </w:numPr>
      </w:pPr>
      <w:r>
        <w:rPr>
          <w:rFonts w:hint="eastAsia"/>
        </w:rPr>
        <w:t>投标人出函成功后，招标代理可进行保证金/保函查询</w:t>
      </w:r>
    </w:p>
    <w:p>
      <w:pPr>
        <w:pStyle w:val="2"/>
        <w:ind w:firstLine="420"/>
      </w:pPr>
      <w:r>
        <w:rPr>
          <w:rFonts w:hint="eastAsia"/>
        </w:rPr>
        <w:t>招标代理登录地址</w:t>
      </w:r>
      <w:r>
        <w:t>http://ggzy.klmy.gov.cn/TPBidder/memberLogin</w:t>
      </w:r>
      <w:r>
        <w:rPr>
          <w:rFonts w:hint="eastAsia"/>
        </w:rPr>
        <w:t xml:space="preserve"> 标证通或者C</w:t>
      </w:r>
      <w:r>
        <w:t>A</w:t>
      </w:r>
      <w:r>
        <w:rPr>
          <w:rFonts w:hint="eastAsia"/>
        </w:rPr>
        <w:t>锁登录</w:t>
      </w:r>
    </w:p>
    <w:p>
      <w:pPr>
        <w:pStyle w:val="2"/>
        <w:ind w:firstLine="420"/>
      </w:pPr>
      <w:r>
        <w:drawing>
          <wp:inline distT="0" distB="0" distL="0" distR="0">
            <wp:extent cx="5278120" cy="2336800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</w:pPr>
      <w:r>
        <w:rPr>
          <w:rFonts w:hint="eastAsia"/>
        </w:rPr>
        <w:t>2、点击要查询的对应的项目类型，如“工程业务”-“保证金管理”-“保证金查询”-“明细”即可进行查询</w:t>
      </w:r>
      <w:r>
        <w:drawing>
          <wp:inline distT="0" distB="0" distL="0" distR="0">
            <wp:extent cx="5278120" cy="2336800"/>
            <wp:effectExtent l="0" t="0" r="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firstLine="0" w:firstLineChars="0"/>
      </w:pPr>
      <w:r>
        <w:rPr>
          <w:rFonts w:hint="eastAsia"/>
        </w:rPr>
        <w:t>3、点击查询即可</w:t>
      </w:r>
    </w:p>
    <w:p>
      <w:pPr>
        <w:pStyle w:val="2"/>
        <w:ind w:left="420" w:leftChars="200" w:firstLine="0" w:firstLineChars="0"/>
      </w:pPr>
      <w:r>
        <w:drawing>
          <wp:inline distT="0" distB="0" distL="114300" distR="114300">
            <wp:extent cx="5266690" cy="1827530"/>
            <wp:effectExtent l="0" t="0" r="635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0"/>
                    <a:srcRect t="1550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1" w:name="_GoBack"/>
      <w:bookmarkEnd w:id="41"/>
    </w:p>
    <w:p>
      <w:pPr>
        <w:pStyle w:val="2"/>
        <w:ind w:left="420" w:leftChars="200" w:firstLine="0" w:firstLineChars="0"/>
      </w:pPr>
      <w:r>
        <w:drawing>
          <wp:inline distT="0" distB="0" distL="114300" distR="114300">
            <wp:extent cx="5265420" cy="2530475"/>
            <wp:effectExtent l="0" t="0" r="1905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53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7"/>
        </w:numPr>
        <w:ind w:left="420" w:firstLine="0" w:firstLineChars="0"/>
      </w:pPr>
      <w:r>
        <w:rPr>
          <w:rFonts w:hint="eastAsia"/>
        </w:rPr>
        <w:t>点击“打印保函P</w:t>
      </w:r>
      <w:r>
        <w:t>DF</w:t>
      </w:r>
      <w:r>
        <w:rPr>
          <w:rFonts w:hint="eastAsia"/>
        </w:rPr>
        <w:t>”，即可查看并打印投标保函明细。</w:t>
      </w:r>
    </w:p>
    <w:p>
      <w:pPr>
        <w:pStyle w:val="2"/>
        <w:ind w:left="420" w:leftChars="200" w:firstLine="0" w:firstLineChars="0"/>
      </w:pPr>
      <w:r>
        <w:drawing>
          <wp:inline distT="0" distB="0" distL="0" distR="0">
            <wp:extent cx="5278120" cy="2336800"/>
            <wp:effectExtent l="0" t="0" r="0" b="635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78120" cy="2336800"/>
            <wp:effectExtent l="0" t="0" r="0" b="635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7"/>
        </w:numPr>
        <w:ind w:firstLine="0" w:firstLineChars="0"/>
      </w:pPr>
      <w:r>
        <w:rPr>
          <w:rFonts w:hint="eastAsia"/>
        </w:rPr>
        <w:t>想要下载对应的单位的明文保函，点击“下载”即可下载明文保函。</w:t>
      </w:r>
    </w:p>
    <w:p>
      <w:pPr>
        <w:pStyle w:val="2"/>
        <w:ind w:left="420" w:firstLine="0" w:firstLineChars="0"/>
        <w:rPr>
          <w:rFonts w:hint="eastAsia"/>
        </w:rPr>
      </w:pPr>
      <w:r>
        <w:drawing>
          <wp:inline distT="0" distB="0" distL="0" distR="0">
            <wp:extent cx="5278120" cy="2336800"/>
            <wp:effectExtent l="0" t="0" r="0" b="635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11" w:type="default"/>
      <w:footerReference r:id="rId12" w:type="default"/>
      <w:pgSz w:w="11906" w:h="16838"/>
      <w:pgMar w:top="1440" w:right="1797" w:bottom="1440" w:left="1797" w:header="624" w:footer="624" w:gutter="0"/>
      <w:pgNumType w:start="1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思源宋体 CN Light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 Light">
    <w:altName w:val="黑体"/>
    <w:panose1 w:val="020B0502040204020203"/>
    <w:charset w:val="86"/>
    <w:family w:val="swiss"/>
    <w:pitch w:val="default"/>
    <w:sig w:usb0="00000000" w:usb1="00000000" w:usb2="00000016" w:usb3="00000000" w:csb0="0004001F" w:csb1="00000000"/>
  </w:font>
  <w:font w:name="Consolas">
    <w:panose1 w:val="020B0609020204030204"/>
    <w:charset w:val="00"/>
    <w:family w:val="modern"/>
    <w:pitch w:val="default"/>
    <w:sig w:usb0="E10002FF" w:usb1="4000FCFF" w:usb2="00000009" w:usb3="00000000" w:csb0="6000019F" w:csb1="DFD7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思源宋体 CN">
    <w:altName w:val="宋体"/>
    <w:panose1 w:val="00000000000000000000"/>
    <w:charset w:val="86"/>
    <w:family w:val="roman"/>
    <w:pitch w:val="default"/>
    <w:sig w:usb0="00000000" w:usb1="00000000" w:usb2="00000016" w:usb3="00000000" w:csb0="60060107" w:csb1="00000000"/>
  </w:font>
  <w:font w:name="思源黑体 CN Regular">
    <w:altName w:val="黑体"/>
    <w:panose1 w:val="00000000000000000000"/>
    <w:charset w:val="86"/>
    <w:family w:val="auto"/>
    <w:pitch w:val="default"/>
    <w:sig w:usb0="00000000" w:usb1="00000000" w:usb2="00000016" w:usb3="00000000" w:csb0="60060107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pBdr>
        <w:top w:val="single" w:color="9BBB59" w:sz="24" w:space="5"/>
      </w:pBdr>
      <w:spacing w:line="240" w:lineRule="auto"/>
      <w:ind w:firstLine="0" w:firstLineChars="0"/>
      <w:rPr>
        <w:rFonts w:hint="eastAsia"/>
      </w:rPr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3" name="文本框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5"/>
                            <w:ind w:firstLine="360"/>
                          </w:pP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19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/17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qEhH8tAgAAVwQAAA4AAABkcnMvZTJvRG9jLnhtbK1UzY7TMBC+I/EO&#10;lu80bVes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MqEhH8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5"/>
                      <w:ind w:firstLine="360"/>
                    </w:pP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19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/17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pBdr>
        <w:bottom w:val="none" w:color="auto" w:sz="0" w:space="1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ind w:firstLine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pBdr>
        <w:bottom w:val="thickThinSmallGap" w:color="622423" w:sz="24" w:space="1"/>
      </w:pBdr>
      <w:spacing w:line="240" w:lineRule="auto"/>
      <w:ind w:firstLine="0" w:firstLineChars="0"/>
      <w:jc w:val="left"/>
    </w:pPr>
    <w:r>
      <w:rPr>
        <w:rFonts w:hint="eastAsia"/>
      </w:rPr>
      <w:t>克拉玛依市公共资源交易平台电子保函</w:t>
    </w:r>
    <w:r>
      <w:rPr>
        <w:rFonts w:hint="eastAsia"/>
        <w:lang w:val="en-US" w:eastAsia="zh-CN"/>
      </w:rPr>
      <w:t>系统</w:t>
    </w:r>
    <w:r>
      <w:rPr>
        <w:rFonts w:hint="eastAsia"/>
      </w:rPr>
      <w:t>用户操作手册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029E4D"/>
    <w:multiLevelType w:val="singleLevel"/>
    <w:tmpl w:val="8D029E4D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C64D0925"/>
    <w:multiLevelType w:val="singleLevel"/>
    <w:tmpl w:val="C64D0925"/>
    <w:lvl w:ilvl="0" w:tentative="0">
      <w:start w:val="2"/>
      <w:numFmt w:val="decimal"/>
      <w:suff w:val="nothing"/>
      <w:lvlText w:val="%1、"/>
      <w:lvlJc w:val="left"/>
      <w:pPr>
        <w:ind w:left="-60"/>
      </w:pPr>
    </w:lvl>
  </w:abstractNum>
  <w:abstractNum w:abstractNumId="2">
    <w:nsid w:val="D6A37C53"/>
    <w:multiLevelType w:val="multilevel"/>
    <w:tmpl w:val="D6A37C53"/>
    <w:lvl w:ilvl="0" w:tentative="0">
      <w:start w:val="1"/>
      <w:numFmt w:val="chineseCounting"/>
      <w:pStyle w:val="3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Times New Roman" w:hAnsi="Times New Roman" w:eastAsia="思源宋体 CN Light" w:cs="宋体"/>
        <w:b/>
        <w:sz w:val="32"/>
      </w:rPr>
    </w:lvl>
    <w:lvl w:ilvl="1" w:tentative="0">
      <w:start w:val="1"/>
      <w:numFmt w:val="decimal"/>
      <w:pStyle w:val="4"/>
      <w:isLgl/>
      <w:suff w:val="nothing"/>
      <w:lvlText w:val="%1.%2、"/>
      <w:lvlJc w:val="left"/>
      <w:pPr>
        <w:tabs>
          <w:tab w:val="left" w:pos="0"/>
        </w:tabs>
        <w:ind w:left="0" w:firstLine="0"/>
      </w:pPr>
      <w:rPr>
        <w:rFonts w:hint="eastAsia" w:ascii="Times New Roman" w:hAnsi="Times New Roman" w:eastAsia="思源宋体 CN Light" w:cs="宋体"/>
        <w:b/>
        <w:sz w:val="30"/>
      </w:rPr>
    </w:lvl>
    <w:lvl w:ilvl="2" w:tentative="0">
      <w:start w:val="1"/>
      <w:numFmt w:val="decimal"/>
      <w:pStyle w:val="5"/>
      <w:isLgl/>
      <w:suff w:val="nothing"/>
      <w:lvlText w:val="%1.%2.%3、"/>
      <w:lvlJc w:val="left"/>
      <w:pPr>
        <w:tabs>
          <w:tab w:val="left" w:pos="0"/>
        </w:tabs>
        <w:ind w:left="0" w:firstLine="0"/>
      </w:pPr>
      <w:rPr>
        <w:rFonts w:hint="eastAsia" w:ascii="Times New Roman" w:hAnsi="Times New Roman" w:eastAsia="思源宋体 CN Light" w:cs="宋体"/>
        <w:b/>
        <w:sz w:val="28"/>
      </w:rPr>
    </w:lvl>
    <w:lvl w:ilvl="3" w:tentative="0">
      <w:start w:val="1"/>
      <w:numFmt w:val="decimal"/>
      <w:pStyle w:val="6"/>
      <w:isLgl/>
      <w:suff w:val="nothing"/>
      <w:lvlText w:val="%1.%2.%3.%4、"/>
      <w:lvlJc w:val="left"/>
      <w:pPr>
        <w:tabs>
          <w:tab w:val="left" w:pos="420"/>
        </w:tabs>
        <w:ind w:left="0" w:firstLine="0"/>
      </w:pPr>
      <w:rPr>
        <w:rFonts w:hint="eastAsia" w:ascii="Times New Roman" w:hAnsi="Times New Roman" w:eastAsia="微软雅黑 Light" w:cs="宋体"/>
        <w:b/>
        <w:sz w:val="24"/>
      </w:rPr>
    </w:lvl>
    <w:lvl w:ilvl="4" w:tentative="0">
      <w:start w:val="1"/>
      <w:numFmt w:val="decimal"/>
      <w:pStyle w:val="7"/>
      <w:isLgl/>
      <w:suff w:val="nothing"/>
      <w:lvlText w:val="%1.%2.%3.%4.%5、"/>
      <w:lvlJc w:val="left"/>
      <w:pPr>
        <w:tabs>
          <w:tab w:val="left" w:pos="420"/>
        </w:tabs>
        <w:ind w:left="0" w:firstLine="0"/>
      </w:pPr>
      <w:rPr>
        <w:rFonts w:hint="eastAsia" w:ascii="Times New Roman" w:hAnsi="Times New Roman" w:eastAsia="思源宋体 CN Light" w:cs="宋体"/>
        <w:b/>
        <w:sz w:val="21"/>
      </w:rPr>
    </w:lvl>
    <w:lvl w:ilvl="5" w:tentative="0">
      <w:start w:val="1"/>
      <w:numFmt w:val="decimal"/>
      <w:pStyle w:val="8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pStyle w:val="9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10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1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abstractNum w:abstractNumId="3">
    <w:nsid w:val="F7CBB695"/>
    <w:multiLevelType w:val="singleLevel"/>
    <w:tmpl w:val="F7CBB695"/>
    <w:lvl w:ilvl="0" w:tentative="0">
      <w:start w:val="2"/>
      <w:numFmt w:val="decimal"/>
      <w:suff w:val="nothing"/>
      <w:lvlText w:val="%1、"/>
      <w:lvlJc w:val="left"/>
    </w:lvl>
  </w:abstractNum>
  <w:abstractNum w:abstractNumId="4">
    <w:nsid w:val="0497735D"/>
    <w:multiLevelType w:val="singleLevel"/>
    <w:tmpl w:val="0497735D"/>
    <w:lvl w:ilvl="0" w:tentative="0">
      <w:start w:val="1"/>
      <w:numFmt w:val="decimal"/>
      <w:suff w:val="nothing"/>
      <w:lvlText w:val="%1、"/>
      <w:lvlJc w:val="left"/>
    </w:lvl>
  </w:abstractNum>
  <w:abstractNum w:abstractNumId="5">
    <w:nsid w:val="07A87B86"/>
    <w:multiLevelType w:val="singleLevel"/>
    <w:tmpl w:val="07A87B86"/>
    <w:lvl w:ilvl="0" w:tentative="0">
      <w:start w:val="1"/>
      <w:numFmt w:val="decimal"/>
      <w:suff w:val="nothing"/>
      <w:lvlText w:val="%1、"/>
      <w:lvlJc w:val="left"/>
    </w:lvl>
  </w:abstractNum>
  <w:abstractNum w:abstractNumId="6">
    <w:nsid w:val="5CFBDCA9"/>
    <w:multiLevelType w:val="singleLevel"/>
    <w:tmpl w:val="5CFBDCA9"/>
    <w:lvl w:ilvl="0" w:tentative="0">
      <w:start w:val="1"/>
      <w:numFmt w:val="decimal"/>
      <w:suff w:val="nothing"/>
      <w:lvlText w:val="%1、"/>
      <w:lvlJc w:val="left"/>
    </w:lvl>
  </w:abstractNum>
  <w:abstractNum w:abstractNumId="7">
    <w:nsid w:val="78D2BB53"/>
    <w:multiLevelType w:val="singleLevel"/>
    <w:tmpl w:val="78D2BB5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yZjQ3MTkzNmFhM2ZmY2EzYjk2MWZlNDBhZjNkYzEifQ=="/>
  </w:docVars>
  <w:rsids>
    <w:rsidRoot w:val="001D47A1"/>
    <w:rsid w:val="00070478"/>
    <w:rsid w:val="000A0CD8"/>
    <w:rsid w:val="000C0A90"/>
    <w:rsid w:val="000D2347"/>
    <w:rsid w:val="001032A1"/>
    <w:rsid w:val="00163C8B"/>
    <w:rsid w:val="00165621"/>
    <w:rsid w:val="001B55C4"/>
    <w:rsid w:val="001D47A1"/>
    <w:rsid w:val="001E58C2"/>
    <w:rsid w:val="00203EF0"/>
    <w:rsid w:val="002851A1"/>
    <w:rsid w:val="0029262E"/>
    <w:rsid w:val="002C215D"/>
    <w:rsid w:val="00384618"/>
    <w:rsid w:val="003A1E1B"/>
    <w:rsid w:val="003A3418"/>
    <w:rsid w:val="003F0446"/>
    <w:rsid w:val="00437A4E"/>
    <w:rsid w:val="004437AE"/>
    <w:rsid w:val="00454CA8"/>
    <w:rsid w:val="00460ACE"/>
    <w:rsid w:val="004D302F"/>
    <w:rsid w:val="0057425F"/>
    <w:rsid w:val="005951E8"/>
    <w:rsid w:val="00624284"/>
    <w:rsid w:val="00662A1B"/>
    <w:rsid w:val="00670A7A"/>
    <w:rsid w:val="00716380"/>
    <w:rsid w:val="00717DE4"/>
    <w:rsid w:val="0078599F"/>
    <w:rsid w:val="007B142A"/>
    <w:rsid w:val="007D0546"/>
    <w:rsid w:val="00861998"/>
    <w:rsid w:val="008E496E"/>
    <w:rsid w:val="0098291F"/>
    <w:rsid w:val="009A5D6F"/>
    <w:rsid w:val="00A00014"/>
    <w:rsid w:val="00A0153D"/>
    <w:rsid w:val="00A60912"/>
    <w:rsid w:val="00A60E83"/>
    <w:rsid w:val="00AB26E2"/>
    <w:rsid w:val="00AB79E2"/>
    <w:rsid w:val="00AF2096"/>
    <w:rsid w:val="00B35B52"/>
    <w:rsid w:val="00C5002E"/>
    <w:rsid w:val="00CB0F60"/>
    <w:rsid w:val="00CC352E"/>
    <w:rsid w:val="00CC623B"/>
    <w:rsid w:val="00D37FBC"/>
    <w:rsid w:val="00D64523"/>
    <w:rsid w:val="00D8110D"/>
    <w:rsid w:val="00DC48DC"/>
    <w:rsid w:val="00DC4A3F"/>
    <w:rsid w:val="00DD6B35"/>
    <w:rsid w:val="00DD6D52"/>
    <w:rsid w:val="00E67837"/>
    <w:rsid w:val="00E92DB1"/>
    <w:rsid w:val="00E9770B"/>
    <w:rsid w:val="00F05135"/>
    <w:rsid w:val="00F06C55"/>
    <w:rsid w:val="00F244C1"/>
    <w:rsid w:val="00F51C44"/>
    <w:rsid w:val="00F8392C"/>
    <w:rsid w:val="00F934ED"/>
    <w:rsid w:val="00FE0136"/>
    <w:rsid w:val="01234FA2"/>
    <w:rsid w:val="019B14DA"/>
    <w:rsid w:val="01A144C1"/>
    <w:rsid w:val="01C66C73"/>
    <w:rsid w:val="0217353A"/>
    <w:rsid w:val="02776CE3"/>
    <w:rsid w:val="02CA31F8"/>
    <w:rsid w:val="0336760E"/>
    <w:rsid w:val="035102A9"/>
    <w:rsid w:val="03610E7A"/>
    <w:rsid w:val="036266F7"/>
    <w:rsid w:val="03FF36AD"/>
    <w:rsid w:val="046B4F88"/>
    <w:rsid w:val="046F2081"/>
    <w:rsid w:val="05223B55"/>
    <w:rsid w:val="05467D5B"/>
    <w:rsid w:val="05606153"/>
    <w:rsid w:val="056E1AED"/>
    <w:rsid w:val="05B86355"/>
    <w:rsid w:val="062715DD"/>
    <w:rsid w:val="06382A34"/>
    <w:rsid w:val="068E2F6E"/>
    <w:rsid w:val="06A65800"/>
    <w:rsid w:val="06F90373"/>
    <w:rsid w:val="07B25156"/>
    <w:rsid w:val="07D23A36"/>
    <w:rsid w:val="07EA7189"/>
    <w:rsid w:val="07F74E09"/>
    <w:rsid w:val="080E2693"/>
    <w:rsid w:val="082574F4"/>
    <w:rsid w:val="08351D86"/>
    <w:rsid w:val="08CE2C09"/>
    <w:rsid w:val="099832C5"/>
    <w:rsid w:val="09A2305B"/>
    <w:rsid w:val="09E869F3"/>
    <w:rsid w:val="09F26927"/>
    <w:rsid w:val="0A026859"/>
    <w:rsid w:val="0A0330CE"/>
    <w:rsid w:val="0A822A1F"/>
    <w:rsid w:val="0AAE3C98"/>
    <w:rsid w:val="0B2F3DAE"/>
    <w:rsid w:val="0B3F1D02"/>
    <w:rsid w:val="0B49732E"/>
    <w:rsid w:val="0B65128B"/>
    <w:rsid w:val="0B7B1635"/>
    <w:rsid w:val="0C052C56"/>
    <w:rsid w:val="0C0D67D1"/>
    <w:rsid w:val="0C43205E"/>
    <w:rsid w:val="0C6D104E"/>
    <w:rsid w:val="0CBC44D7"/>
    <w:rsid w:val="0CDA691D"/>
    <w:rsid w:val="0CEA6D84"/>
    <w:rsid w:val="0D1637A7"/>
    <w:rsid w:val="0D79342D"/>
    <w:rsid w:val="0E2B344F"/>
    <w:rsid w:val="0E3F33FA"/>
    <w:rsid w:val="0E544AB7"/>
    <w:rsid w:val="0E816F42"/>
    <w:rsid w:val="0F556CD0"/>
    <w:rsid w:val="0F5B6CBB"/>
    <w:rsid w:val="0F6A6825"/>
    <w:rsid w:val="0FEB21AC"/>
    <w:rsid w:val="100D0B75"/>
    <w:rsid w:val="101D05B4"/>
    <w:rsid w:val="10AD2DF3"/>
    <w:rsid w:val="10FD7EEB"/>
    <w:rsid w:val="11023A9D"/>
    <w:rsid w:val="113B4736"/>
    <w:rsid w:val="12367275"/>
    <w:rsid w:val="12807C2E"/>
    <w:rsid w:val="128D640F"/>
    <w:rsid w:val="12D56EFF"/>
    <w:rsid w:val="12FF1D59"/>
    <w:rsid w:val="132042E2"/>
    <w:rsid w:val="137064AC"/>
    <w:rsid w:val="13B74C2B"/>
    <w:rsid w:val="13BB0498"/>
    <w:rsid w:val="13D62095"/>
    <w:rsid w:val="13DB0FF3"/>
    <w:rsid w:val="13E52E24"/>
    <w:rsid w:val="143E34F2"/>
    <w:rsid w:val="14551415"/>
    <w:rsid w:val="14813BA0"/>
    <w:rsid w:val="14941B78"/>
    <w:rsid w:val="14C1683B"/>
    <w:rsid w:val="14C3439C"/>
    <w:rsid w:val="14F5170A"/>
    <w:rsid w:val="15520564"/>
    <w:rsid w:val="158B6011"/>
    <w:rsid w:val="15F24B6B"/>
    <w:rsid w:val="15FB4849"/>
    <w:rsid w:val="1621375B"/>
    <w:rsid w:val="16676734"/>
    <w:rsid w:val="16D05CBB"/>
    <w:rsid w:val="17143789"/>
    <w:rsid w:val="172E5AA0"/>
    <w:rsid w:val="17A148FD"/>
    <w:rsid w:val="17DA0476"/>
    <w:rsid w:val="17F47078"/>
    <w:rsid w:val="18564871"/>
    <w:rsid w:val="190423D0"/>
    <w:rsid w:val="192500AB"/>
    <w:rsid w:val="199B4AE5"/>
    <w:rsid w:val="19DD64F8"/>
    <w:rsid w:val="19F319C1"/>
    <w:rsid w:val="1A275F57"/>
    <w:rsid w:val="1A6D3439"/>
    <w:rsid w:val="1AD61F69"/>
    <w:rsid w:val="1AFF2500"/>
    <w:rsid w:val="1B2250C2"/>
    <w:rsid w:val="1B371DA8"/>
    <w:rsid w:val="1B8C0B60"/>
    <w:rsid w:val="1B9D1B3E"/>
    <w:rsid w:val="1BAA1245"/>
    <w:rsid w:val="1BC12154"/>
    <w:rsid w:val="1BCE0555"/>
    <w:rsid w:val="1C067B59"/>
    <w:rsid w:val="1C0C78FE"/>
    <w:rsid w:val="1C0F3933"/>
    <w:rsid w:val="1C4E5742"/>
    <w:rsid w:val="1C866E9C"/>
    <w:rsid w:val="1CDD02E5"/>
    <w:rsid w:val="1CEC667F"/>
    <w:rsid w:val="1D325D68"/>
    <w:rsid w:val="1DAB703A"/>
    <w:rsid w:val="1DB1420A"/>
    <w:rsid w:val="1DCB7276"/>
    <w:rsid w:val="1DE10257"/>
    <w:rsid w:val="1DE81131"/>
    <w:rsid w:val="1E266437"/>
    <w:rsid w:val="1F513DE3"/>
    <w:rsid w:val="1FFA4F26"/>
    <w:rsid w:val="209835ED"/>
    <w:rsid w:val="20B40647"/>
    <w:rsid w:val="20BE59EF"/>
    <w:rsid w:val="212913B6"/>
    <w:rsid w:val="216B2BCB"/>
    <w:rsid w:val="21B02765"/>
    <w:rsid w:val="21B61D78"/>
    <w:rsid w:val="21ED7F9B"/>
    <w:rsid w:val="22B97B62"/>
    <w:rsid w:val="22C643B4"/>
    <w:rsid w:val="22FA4707"/>
    <w:rsid w:val="230D4ACE"/>
    <w:rsid w:val="233B5E30"/>
    <w:rsid w:val="23423E00"/>
    <w:rsid w:val="23E53B09"/>
    <w:rsid w:val="24331B6B"/>
    <w:rsid w:val="24B31C89"/>
    <w:rsid w:val="25004E56"/>
    <w:rsid w:val="25491D80"/>
    <w:rsid w:val="25AA130C"/>
    <w:rsid w:val="263927CF"/>
    <w:rsid w:val="26583170"/>
    <w:rsid w:val="266C03AF"/>
    <w:rsid w:val="26CD0F49"/>
    <w:rsid w:val="2714543F"/>
    <w:rsid w:val="27674AAB"/>
    <w:rsid w:val="27AC0A3D"/>
    <w:rsid w:val="27AF61AB"/>
    <w:rsid w:val="27C6754A"/>
    <w:rsid w:val="289775FC"/>
    <w:rsid w:val="29141158"/>
    <w:rsid w:val="29232DF0"/>
    <w:rsid w:val="294D4496"/>
    <w:rsid w:val="29F51563"/>
    <w:rsid w:val="2A1F1A33"/>
    <w:rsid w:val="2A2D5DBD"/>
    <w:rsid w:val="2A3156A5"/>
    <w:rsid w:val="2A673421"/>
    <w:rsid w:val="2A6B4E8D"/>
    <w:rsid w:val="2A950AF7"/>
    <w:rsid w:val="2AA07A66"/>
    <w:rsid w:val="2ACA7549"/>
    <w:rsid w:val="2B1F03DA"/>
    <w:rsid w:val="2B3D7BBD"/>
    <w:rsid w:val="2C024719"/>
    <w:rsid w:val="2C0D1609"/>
    <w:rsid w:val="2C645B59"/>
    <w:rsid w:val="2C683230"/>
    <w:rsid w:val="2D030EDE"/>
    <w:rsid w:val="2D41077E"/>
    <w:rsid w:val="2D687F33"/>
    <w:rsid w:val="2D95568E"/>
    <w:rsid w:val="2D9E58E9"/>
    <w:rsid w:val="2DC96AD9"/>
    <w:rsid w:val="2E1C440C"/>
    <w:rsid w:val="2E2C50E4"/>
    <w:rsid w:val="2E392CAA"/>
    <w:rsid w:val="2E504533"/>
    <w:rsid w:val="2E5E2491"/>
    <w:rsid w:val="2EC76378"/>
    <w:rsid w:val="2F123539"/>
    <w:rsid w:val="2F8510F1"/>
    <w:rsid w:val="2F971630"/>
    <w:rsid w:val="2FC62485"/>
    <w:rsid w:val="301B72F6"/>
    <w:rsid w:val="302926C9"/>
    <w:rsid w:val="30544CD1"/>
    <w:rsid w:val="30BF286A"/>
    <w:rsid w:val="30D1272F"/>
    <w:rsid w:val="313E22AF"/>
    <w:rsid w:val="315671B6"/>
    <w:rsid w:val="31BA2A4B"/>
    <w:rsid w:val="31DA609B"/>
    <w:rsid w:val="32183062"/>
    <w:rsid w:val="32460E96"/>
    <w:rsid w:val="3258623F"/>
    <w:rsid w:val="3261127C"/>
    <w:rsid w:val="32712264"/>
    <w:rsid w:val="32AB340D"/>
    <w:rsid w:val="32C05570"/>
    <w:rsid w:val="32DF0DBA"/>
    <w:rsid w:val="32E346BF"/>
    <w:rsid w:val="331F3604"/>
    <w:rsid w:val="339D53CE"/>
    <w:rsid w:val="34D01DFE"/>
    <w:rsid w:val="35753CCB"/>
    <w:rsid w:val="358038AC"/>
    <w:rsid w:val="35D960CB"/>
    <w:rsid w:val="363C2D71"/>
    <w:rsid w:val="36B85B9B"/>
    <w:rsid w:val="36D82E65"/>
    <w:rsid w:val="36FC07B2"/>
    <w:rsid w:val="3704092D"/>
    <w:rsid w:val="373057DF"/>
    <w:rsid w:val="37D63C0B"/>
    <w:rsid w:val="37E2462C"/>
    <w:rsid w:val="38207193"/>
    <w:rsid w:val="382D2753"/>
    <w:rsid w:val="383E1227"/>
    <w:rsid w:val="386E3E28"/>
    <w:rsid w:val="38864338"/>
    <w:rsid w:val="389D15FF"/>
    <w:rsid w:val="38C15358"/>
    <w:rsid w:val="38D87CEF"/>
    <w:rsid w:val="38E820A7"/>
    <w:rsid w:val="38F370E1"/>
    <w:rsid w:val="39140ACE"/>
    <w:rsid w:val="398D64DA"/>
    <w:rsid w:val="399B7668"/>
    <w:rsid w:val="39AC48C7"/>
    <w:rsid w:val="39DE513A"/>
    <w:rsid w:val="3A6C5466"/>
    <w:rsid w:val="3ACC7331"/>
    <w:rsid w:val="3B1C3BC3"/>
    <w:rsid w:val="3B31090C"/>
    <w:rsid w:val="3BA060E8"/>
    <w:rsid w:val="3C047EF6"/>
    <w:rsid w:val="3C090159"/>
    <w:rsid w:val="3C491076"/>
    <w:rsid w:val="3C5E67DE"/>
    <w:rsid w:val="3CAF3872"/>
    <w:rsid w:val="3CCE416F"/>
    <w:rsid w:val="3CD532D9"/>
    <w:rsid w:val="3CE673F9"/>
    <w:rsid w:val="3CEE641C"/>
    <w:rsid w:val="3D785FFC"/>
    <w:rsid w:val="3DC257F4"/>
    <w:rsid w:val="3DD325FD"/>
    <w:rsid w:val="3E36211E"/>
    <w:rsid w:val="3E3E1739"/>
    <w:rsid w:val="3E9C7C4C"/>
    <w:rsid w:val="3EAA4013"/>
    <w:rsid w:val="3EB55041"/>
    <w:rsid w:val="3EE36345"/>
    <w:rsid w:val="3F041A1C"/>
    <w:rsid w:val="3F5B281F"/>
    <w:rsid w:val="3F861A73"/>
    <w:rsid w:val="3F94562E"/>
    <w:rsid w:val="3FC87068"/>
    <w:rsid w:val="3FD569A4"/>
    <w:rsid w:val="3FF65866"/>
    <w:rsid w:val="40715247"/>
    <w:rsid w:val="40AE1D79"/>
    <w:rsid w:val="412C11FB"/>
    <w:rsid w:val="422A6912"/>
    <w:rsid w:val="429937DB"/>
    <w:rsid w:val="42FE4357"/>
    <w:rsid w:val="42FE464E"/>
    <w:rsid w:val="43333C76"/>
    <w:rsid w:val="433B75D3"/>
    <w:rsid w:val="434D7A62"/>
    <w:rsid w:val="43591BE7"/>
    <w:rsid w:val="439C23C0"/>
    <w:rsid w:val="44186EBC"/>
    <w:rsid w:val="44790767"/>
    <w:rsid w:val="44961DB9"/>
    <w:rsid w:val="44CC35F4"/>
    <w:rsid w:val="45EE003D"/>
    <w:rsid w:val="460249B5"/>
    <w:rsid w:val="46272A1F"/>
    <w:rsid w:val="464056DE"/>
    <w:rsid w:val="46982CA0"/>
    <w:rsid w:val="46C115B5"/>
    <w:rsid w:val="4700463F"/>
    <w:rsid w:val="47042F70"/>
    <w:rsid w:val="473D7756"/>
    <w:rsid w:val="473F59F6"/>
    <w:rsid w:val="47994B18"/>
    <w:rsid w:val="47B43697"/>
    <w:rsid w:val="47B800A0"/>
    <w:rsid w:val="480A06F3"/>
    <w:rsid w:val="487C58BB"/>
    <w:rsid w:val="48823EB1"/>
    <w:rsid w:val="48B239D7"/>
    <w:rsid w:val="48BC1BC5"/>
    <w:rsid w:val="494E3E01"/>
    <w:rsid w:val="49671A76"/>
    <w:rsid w:val="49777751"/>
    <w:rsid w:val="49DA50A0"/>
    <w:rsid w:val="49DD7880"/>
    <w:rsid w:val="4A002898"/>
    <w:rsid w:val="4A5B4585"/>
    <w:rsid w:val="4A8E6AA3"/>
    <w:rsid w:val="4AD427B1"/>
    <w:rsid w:val="4AF63B1B"/>
    <w:rsid w:val="4B4E000B"/>
    <w:rsid w:val="4B9219A4"/>
    <w:rsid w:val="4C113459"/>
    <w:rsid w:val="4C2749B6"/>
    <w:rsid w:val="4C534D73"/>
    <w:rsid w:val="4C9322A2"/>
    <w:rsid w:val="4CCA1178"/>
    <w:rsid w:val="4CE237A9"/>
    <w:rsid w:val="4CF16FBF"/>
    <w:rsid w:val="4CF66875"/>
    <w:rsid w:val="4CFA168C"/>
    <w:rsid w:val="4D0573A2"/>
    <w:rsid w:val="4D2D394E"/>
    <w:rsid w:val="4D8A3599"/>
    <w:rsid w:val="4EBC217E"/>
    <w:rsid w:val="4ED50883"/>
    <w:rsid w:val="4EF43AEA"/>
    <w:rsid w:val="4F0E3727"/>
    <w:rsid w:val="4F9D4EC4"/>
    <w:rsid w:val="50030556"/>
    <w:rsid w:val="5008758F"/>
    <w:rsid w:val="50606065"/>
    <w:rsid w:val="50EB498A"/>
    <w:rsid w:val="50F10951"/>
    <w:rsid w:val="513C03F7"/>
    <w:rsid w:val="51453C2F"/>
    <w:rsid w:val="51461BED"/>
    <w:rsid w:val="515151DC"/>
    <w:rsid w:val="5152517D"/>
    <w:rsid w:val="515E425A"/>
    <w:rsid w:val="51C74473"/>
    <w:rsid w:val="529D1F83"/>
    <w:rsid w:val="52FB2E29"/>
    <w:rsid w:val="531A2BE5"/>
    <w:rsid w:val="538C532C"/>
    <w:rsid w:val="53C81FB3"/>
    <w:rsid w:val="53DF178B"/>
    <w:rsid w:val="54C5090E"/>
    <w:rsid w:val="54E034A9"/>
    <w:rsid w:val="54EA43DF"/>
    <w:rsid w:val="55596642"/>
    <w:rsid w:val="55CB258C"/>
    <w:rsid w:val="5670396D"/>
    <w:rsid w:val="574F23DF"/>
    <w:rsid w:val="57556651"/>
    <w:rsid w:val="57684BE6"/>
    <w:rsid w:val="57793E53"/>
    <w:rsid w:val="57816111"/>
    <w:rsid w:val="57907B36"/>
    <w:rsid w:val="57D411E0"/>
    <w:rsid w:val="580E1CFE"/>
    <w:rsid w:val="582575F2"/>
    <w:rsid w:val="58365A10"/>
    <w:rsid w:val="58DF21D4"/>
    <w:rsid w:val="5918091C"/>
    <w:rsid w:val="59771E3D"/>
    <w:rsid w:val="5A276A0F"/>
    <w:rsid w:val="5A350E61"/>
    <w:rsid w:val="5A4C294A"/>
    <w:rsid w:val="5ADF17FA"/>
    <w:rsid w:val="5AF86B50"/>
    <w:rsid w:val="5B701F6D"/>
    <w:rsid w:val="5C4A7C2E"/>
    <w:rsid w:val="5C6F4F4F"/>
    <w:rsid w:val="5C771A0D"/>
    <w:rsid w:val="5CD73231"/>
    <w:rsid w:val="5DB6564B"/>
    <w:rsid w:val="5E191B29"/>
    <w:rsid w:val="5E314733"/>
    <w:rsid w:val="5E4612F1"/>
    <w:rsid w:val="5E6E467A"/>
    <w:rsid w:val="5F2C1650"/>
    <w:rsid w:val="5F2D7A30"/>
    <w:rsid w:val="5F4130B8"/>
    <w:rsid w:val="5F5C0E82"/>
    <w:rsid w:val="5F775A6D"/>
    <w:rsid w:val="5F7D340C"/>
    <w:rsid w:val="5FBC5A09"/>
    <w:rsid w:val="5FC36960"/>
    <w:rsid w:val="5FD711F2"/>
    <w:rsid w:val="6014227F"/>
    <w:rsid w:val="604870E5"/>
    <w:rsid w:val="60585BA4"/>
    <w:rsid w:val="60C54C59"/>
    <w:rsid w:val="60D208DF"/>
    <w:rsid w:val="61367191"/>
    <w:rsid w:val="613949F4"/>
    <w:rsid w:val="618056ED"/>
    <w:rsid w:val="62426A55"/>
    <w:rsid w:val="626205B2"/>
    <w:rsid w:val="63320005"/>
    <w:rsid w:val="637C0089"/>
    <w:rsid w:val="63D2023D"/>
    <w:rsid w:val="641A5E5E"/>
    <w:rsid w:val="641A5F6F"/>
    <w:rsid w:val="646E283B"/>
    <w:rsid w:val="64A91A47"/>
    <w:rsid w:val="64E362C2"/>
    <w:rsid w:val="65051BC0"/>
    <w:rsid w:val="6528785E"/>
    <w:rsid w:val="657C778C"/>
    <w:rsid w:val="658927A5"/>
    <w:rsid w:val="65F00A05"/>
    <w:rsid w:val="660A31A3"/>
    <w:rsid w:val="66237CDF"/>
    <w:rsid w:val="668D1EAD"/>
    <w:rsid w:val="66B21D03"/>
    <w:rsid w:val="66C66EBF"/>
    <w:rsid w:val="66CA4486"/>
    <w:rsid w:val="671A07A6"/>
    <w:rsid w:val="67394D3D"/>
    <w:rsid w:val="67587747"/>
    <w:rsid w:val="679974B3"/>
    <w:rsid w:val="67E0317C"/>
    <w:rsid w:val="6830018C"/>
    <w:rsid w:val="68496C3D"/>
    <w:rsid w:val="68586660"/>
    <w:rsid w:val="687F51D8"/>
    <w:rsid w:val="696929B1"/>
    <w:rsid w:val="6979237F"/>
    <w:rsid w:val="69901D8D"/>
    <w:rsid w:val="69B57B91"/>
    <w:rsid w:val="69DD0BB7"/>
    <w:rsid w:val="6A8272A0"/>
    <w:rsid w:val="6B1F7304"/>
    <w:rsid w:val="6BB01935"/>
    <w:rsid w:val="6BB7162D"/>
    <w:rsid w:val="6BDB744E"/>
    <w:rsid w:val="6BFF56E6"/>
    <w:rsid w:val="6C442812"/>
    <w:rsid w:val="6C4D5884"/>
    <w:rsid w:val="6C5242AD"/>
    <w:rsid w:val="6CFD6301"/>
    <w:rsid w:val="6D0B3137"/>
    <w:rsid w:val="6E187B1D"/>
    <w:rsid w:val="6E557678"/>
    <w:rsid w:val="6EB42D11"/>
    <w:rsid w:val="6EC120B0"/>
    <w:rsid w:val="6ED150C6"/>
    <w:rsid w:val="6EE07376"/>
    <w:rsid w:val="6EF84EC7"/>
    <w:rsid w:val="6F5A613F"/>
    <w:rsid w:val="6F883019"/>
    <w:rsid w:val="6FA42945"/>
    <w:rsid w:val="6FD7537A"/>
    <w:rsid w:val="70110709"/>
    <w:rsid w:val="701518C7"/>
    <w:rsid w:val="704D6FD3"/>
    <w:rsid w:val="706D4D57"/>
    <w:rsid w:val="708E6408"/>
    <w:rsid w:val="70DF5A31"/>
    <w:rsid w:val="70ED018E"/>
    <w:rsid w:val="70FF3B97"/>
    <w:rsid w:val="71572056"/>
    <w:rsid w:val="717752F4"/>
    <w:rsid w:val="718166AD"/>
    <w:rsid w:val="71BA1F61"/>
    <w:rsid w:val="71DD04F6"/>
    <w:rsid w:val="71F9646F"/>
    <w:rsid w:val="71FC5D75"/>
    <w:rsid w:val="71FD35E8"/>
    <w:rsid w:val="72366D03"/>
    <w:rsid w:val="725554A1"/>
    <w:rsid w:val="72D72856"/>
    <w:rsid w:val="734C5AE0"/>
    <w:rsid w:val="738741D6"/>
    <w:rsid w:val="73BC1844"/>
    <w:rsid w:val="74103305"/>
    <w:rsid w:val="74382D6C"/>
    <w:rsid w:val="74DB7694"/>
    <w:rsid w:val="750824AA"/>
    <w:rsid w:val="75177560"/>
    <w:rsid w:val="7584461A"/>
    <w:rsid w:val="75EC58A6"/>
    <w:rsid w:val="760A0324"/>
    <w:rsid w:val="767A1C01"/>
    <w:rsid w:val="76DC7164"/>
    <w:rsid w:val="777D7467"/>
    <w:rsid w:val="777E78D7"/>
    <w:rsid w:val="77EC2B6D"/>
    <w:rsid w:val="77FD4709"/>
    <w:rsid w:val="78527701"/>
    <w:rsid w:val="78615CFA"/>
    <w:rsid w:val="78617380"/>
    <w:rsid w:val="78935A08"/>
    <w:rsid w:val="78B80B4F"/>
    <w:rsid w:val="79184FFC"/>
    <w:rsid w:val="7961229D"/>
    <w:rsid w:val="7970708F"/>
    <w:rsid w:val="79C36394"/>
    <w:rsid w:val="7A197CF7"/>
    <w:rsid w:val="7A1B7F50"/>
    <w:rsid w:val="7A3515FB"/>
    <w:rsid w:val="7A4D7A4C"/>
    <w:rsid w:val="7A822B50"/>
    <w:rsid w:val="7AB51178"/>
    <w:rsid w:val="7AF10309"/>
    <w:rsid w:val="7B6C5E6F"/>
    <w:rsid w:val="7B7B222D"/>
    <w:rsid w:val="7BAB0063"/>
    <w:rsid w:val="7C3133CB"/>
    <w:rsid w:val="7C956D0F"/>
    <w:rsid w:val="7CC838B9"/>
    <w:rsid w:val="7CEF1EF8"/>
    <w:rsid w:val="7D1A0A23"/>
    <w:rsid w:val="7D245C6D"/>
    <w:rsid w:val="7D2A172F"/>
    <w:rsid w:val="7D906BA0"/>
    <w:rsid w:val="7DDD1A7B"/>
    <w:rsid w:val="7DF33C9C"/>
    <w:rsid w:val="7DF95E23"/>
    <w:rsid w:val="7E1623E3"/>
    <w:rsid w:val="7E3570AD"/>
    <w:rsid w:val="7E5455D0"/>
    <w:rsid w:val="7EB117B7"/>
    <w:rsid w:val="7EB87930"/>
    <w:rsid w:val="7EE2050E"/>
    <w:rsid w:val="7EE25AB5"/>
    <w:rsid w:val="7F7867D6"/>
    <w:rsid w:val="7FA1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420" w:firstLineChars="200"/>
    </w:pPr>
    <w:rPr>
      <w:rFonts w:ascii="Times New Roman" w:hAnsi="Times New Roman" w:eastAsia="思源宋体 CN Light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31"/>
    <w:qFormat/>
    <w:uiPriority w:val="0"/>
    <w:pPr>
      <w:numPr>
        <w:ilvl w:val="0"/>
        <w:numId w:val="1"/>
      </w:numPr>
      <w:tabs>
        <w:tab w:val="left" w:pos="425"/>
      </w:tabs>
      <w:spacing w:before="120" w:after="120"/>
      <w:ind w:firstLineChars="0"/>
      <w:jc w:val="both"/>
      <w:outlineLvl w:val="0"/>
    </w:pPr>
    <w:rPr>
      <w:b/>
      <w:bCs/>
      <w:kern w:val="44"/>
      <w:sz w:val="32"/>
      <w:szCs w:val="28"/>
    </w:rPr>
  </w:style>
  <w:style w:type="paragraph" w:styleId="4">
    <w:name w:val="heading 2"/>
    <w:basedOn w:val="1"/>
    <w:next w:val="1"/>
    <w:link w:val="32"/>
    <w:qFormat/>
    <w:uiPriority w:val="0"/>
    <w:pPr>
      <w:numPr>
        <w:ilvl w:val="1"/>
        <w:numId w:val="1"/>
      </w:numPr>
      <w:tabs>
        <w:tab w:val="left" w:pos="567"/>
        <w:tab w:val="clear" w:pos="0"/>
      </w:tabs>
      <w:spacing w:before="120" w:after="120"/>
      <w:jc w:val="both"/>
      <w:outlineLvl w:val="1"/>
    </w:pPr>
    <w:rPr>
      <w:b/>
      <w:bCs/>
      <w:sz w:val="30"/>
      <w:szCs w:val="32"/>
    </w:rPr>
  </w:style>
  <w:style w:type="paragraph" w:styleId="5">
    <w:name w:val="heading 3"/>
    <w:basedOn w:val="1"/>
    <w:next w:val="1"/>
    <w:link w:val="35"/>
    <w:qFormat/>
    <w:uiPriority w:val="0"/>
    <w:pPr>
      <w:numPr>
        <w:ilvl w:val="2"/>
        <w:numId w:val="1"/>
      </w:numPr>
      <w:tabs>
        <w:tab w:val="left" w:pos="567"/>
        <w:tab w:val="clear" w:pos="0"/>
      </w:tabs>
      <w:spacing w:before="120" w:after="120"/>
      <w:jc w:val="both"/>
      <w:outlineLvl w:val="2"/>
    </w:pPr>
    <w:rPr>
      <w:b/>
      <w:bCs/>
      <w:sz w:val="28"/>
      <w:szCs w:val="18"/>
    </w:rPr>
  </w:style>
  <w:style w:type="paragraph" w:styleId="6">
    <w:name w:val="heading 4"/>
    <w:basedOn w:val="1"/>
    <w:next w:val="1"/>
    <w:link w:val="36"/>
    <w:qFormat/>
    <w:uiPriority w:val="0"/>
    <w:pPr>
      <w:keepNext/>
      <w:keepLines/>
      <w:numPr>
        <w:ilvl w:val="3"/>
        <w:numId w:val="1"/>
      </w:numPr>
      <w:tabs>
        <w:tab w:val="left" w:pos="504"/>
        <w:tab w:val="clear" w:pos="420"/>
      </w:tabs>
      <w:spacing w:before="120" w:after="120"/>
      <w:outlineLvl w:val="3"/>
    </w:pPr>
    <w:rPr>
      <w:rFonts w:hAnsi="Arial"/>
      <w:b/>
      <w:bCs/>
      <w:sz w:val="24"/>
      <w:szCs w:val="28"/>
    </w:rPr>
  </w:style>
  <w:style w:type="paragraph" w:styleId="7">
    <w:name w:val="heading 5"/>
    <w:basedOn w:val="1"/>
    <w:next w:val="1"/>
    <w:link w:val="37"/>
    <w:qFormat/>
    <w:uiPriority w:val="0"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8">
    <w:name w:val="heading 6"/>
    <w:basedOn w:val="1"/>
    <w:next w:val="1"/>
    <w:semiHidden/>
    <w:unhideWhenUsed/>
    <w:qFormat/>
    <w:uiPriority w:val="9"/>
    <w:pPr>
      <w:keepNext/>
      <w:keepLines/>
      <w:numPr>
        <w:ilvl w:val="5"/>
        <w:numId w:val="1"/>
      </w:numPr>
      <w:tabs>
        <w:tab w:val="left" w:pos="420"/>
      </w:tabs>
      <w:spacing w:before="240" w:after="64" w:line="317" w:lineRule="auto"/>
      <w:ind w:firstLine="0" w:firstLineChars="0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9"/>
    <w:pPr>
      <w:keepNext/>
      <w:keepLines/>
      <w:numPr>
        <w:ilvl w:val="6"/>
        <w:numId w:val="1"/>
      </w:numPr>
      <w:spacing w:before="240" w:after="64" w:line="317" w:lineRule="auto"/>
      <w:ind w:firstLine="0" w:firstLineChars="0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9"/>
    <w:pPr>
      <w:keepNext/>
      <w:keepLines/>
      <w:numPr>
        <w:ilvl w:val="7"/>
        <w:numId w:val="1"/>
      </w:numPr>
      <w:spacing w:before="240" w:after="64" w:line="317" w:lineRule="auto"/>
      <w:ind w:firstLine="0" w:firstLineChars="0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9"/>
    <w:pPr>
      <w:keepNext/>
      <w:keepLines/>
      <w:numPr>
        <w:ilvl w:val="8"/>
        <w:numId w:val="1"/>
      </w:numPr>
      <w:spacing w:before="240" w:after="64" w:line="317" w:lineRule="auto"/>
      <w:ind w:firstLine="0" w:firstLineChars="0"/>
      <w:outlineLvl w:val="8"/>
    </w:pPr>
    <w:rPr>
      <w:rFonts w:ascii="Arial" w:hAnsi="Arial" w:eastAsia="黑体"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首行缩进:  2 字符"/>
    <w:basedOn w:val="1"/>
    <w:qFormat/>
    <w:uiPriority w:val="0"/>
    <w:pPr>
      <w:ind w:firstLine="480"/>
    </w:pPr>
    <w:rPr>
      <w:rFonts w:ascii="Calibri" w:hAnsi="Calibri" w:cs="宋体"/>
      <w:color w:val="000000"/>
      <w:szCs w:val="20"/>
    </w:rPr>
  </w:style>
  <w:style w:type="paragraph" w:styleId="12">
    <w:name w:val="annotation text"/>
    <w:basedOn w:val="1"/>
    <w:semiHidden/>
    <w:unhideWhenUsed/>
    <w:qFormat/>
    <w:uiPriority w:val="99"/>
  </w:style>
  <w:style w:type="paragraph" w:styleId="13">
    <w:name w:val="toc 3"/>
    <w:basedOn w:val="1"/>
    <w:next w:val="1"/>
    <w:unhideWhenUsed/>
    <w:qFormat/>
    <w:uiPriority w:val="39"/>
    <w:pPr>
      <w:spacing w:line="240" w:lineRule="auto"/>
      <w:ind w:firstLine="840" w:firstLineChars="400"/>
    </w:pPr>
  </w:style>
  <w:style w:type="paragraph" w:styleId="14">
    <w:name w:val="Balloon Text"/>
    <w:basedOn w:val="1"/>
    <w:link w:val="42"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15">
    <w:name w:val="footer"/>
    <w:basedOn w:val="1"/>
    <w:link w:val="34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6">
    <w:name w:val="header"/>
    <w:basedOn w:val="1"/>
    <w:link w:val="3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toc 1"/>
    <w:basedOn w:val="1"/>
    <w:next w:val="1"/>
    <w:unhideWhenUsed/>
    <w:qFormat/>
    <w:uiPriority w:val="39"/>
    <w:pPr>
      <w:spacing w:line="240" w:lineRule="auto"/>
      <w:ind w:firstLine="0" w:firstLineChars="0"/>
    </w:pPr>
  </w:style>
  <w:style w:type="paragraph" w:styleId="18">
    <w:name w:val="toc 2"/>
    <w:basedOn w:val="1"/>
    <w:next w:val="1"/>
    <w:unhideWhenUsed/>
    <w:qFormat/>
    <w:uiPriority w:val="39"/>
    <w:pPr>
      <w:spacing w:line="240" w:lineRule="auto"/>
    </w:pPr>
  </w:style>
  <w:style w:type="paragraph" w:styleId="19">
    <w:name w:val="Title"/>
    <w:basedOn w:val="1"/>
    <w:next w:val="1"/>
    <w:qFormat/>
    <w:uiPriority w:val="10"/>
    <w:pPr>
      <w:ind w:firstLine="0" w:firstLineChars="0"/>
      <w:jc w:val="center"/>
    </w:pPr>
    <w:rPr>
      <w:rFonts w:cstheme="majorBidi"/>
      <w:b/>
      <w:bCs/>
      <w:spacing w:val="200"/>
      <w:sz w:val="32"/>
      <w:szCs w:val="32"/>
    </w:rPr>
  </w:style>
  <w:style w:type="table" w:styleId="21">
    <w:name w:val="Table Grid"/>
    <w:basedOn w:val="20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qFormat/>
    <w:uiPriority w:val="22"/>
    <w:rPr>
      <w:b/>
    </w:rPr>
  </w:style>
  <w:style w:type="character" w:styleId="24">
    <w:name w:val="FollowedHyperlink"/>
    <w:basedOn w:val="22"/>
    <w:semiHidden/>
    <w:unhideWhenUsed/>
    <w:qFormat/>
    <w:uiPriority w:val="99"/>
    <w:rPr>
      <w:color w:val="428BCA"/>
      <w:u w:val="none"/>
    </w:rPr>
  </w:style>
  <w:style w:type="character" w:styleId="25">
    <w:name w:val="HTML Definition"/>
    <w:basedOn w:val="22"/>
    <w:semiHidden/>
    <w:unhideWhenUsed/>
    <w:qFormat/>
    <w:uiPriority w:val="99"/>
    <w:rPr>
      <w:i/>
    </w:rPr>
  </w:style>
  <w:style w:type="character" w:styleId="26">
    <w:name w:val="Hyperlink"/>
    <w:basedOn w:val="22"/>
    <w:unhideWhenUsed/>
    <w:qFormat/>
    <w:uiPriority w:val="99"/>
    <w:rPr>
      <w:rFonts w:ascii="Times New Roman" w:hAnsi="Times New Roman" w:eastAsia="思源宋体 CN Light"/>
      <w:color w:val="auto"/>
      <w:sz w:val="21"/>
      <w:u w:val="single"/>
    </w:rPr>
  </w:style>
  <w:style w:type="character" w:styleId="27">
    <w:name w:val="HTML Code"/>
    <w:basedOn w:val="22"/>
    <w:semiHidden/>
    <w:unhideWhenUsed/>
    <w:qFormat/>
    <w:uiPriority w:val="99"/>
    <w:rPr>
      <w:rFonts w:ascii="Consolas" w:hAnsi="Consolas" w:eastAsia="Consolas" w:cs="Consolas"/>
      <w:color w:val="C7254E"/>
      <w:sz w:val="21"/>
      <w:szCs w:val="21"/>
      <w:shd w:val="clear" w:color="auto" w:fill="F9F2F4"/>
    </w:rPr>
  </w:style>
  <w:style w:type="character" w:styleId="28">
    <w:name w:val="HTML Cite"/>
    <w:basedOn w:val="22"/>
    <w:semiHidden/>
    <w:unhideWhenUsed/>
    <w:qFormat/>
    <w:uiPriority w:val="99"/>
  </w:style>
  <w:style w:type="character" w:styleId="29">
    <w:name w:val="HTML Keyboard"/>
    <w:basedOn w:val="22"/>
    <w:semiHidden/>
    <w:unhideWhenUsed/>
    <w:qFormat/>
    <w:uiPriority w:val="99"/>
    <w:rPr>
      <w:rFonts w:hint="default" w:ascii="serif" w:hAnsi="serif" w:eastAsia="serif" w:cs="serif"/>
      <w:sz w:val="21"/>
      <w:szCs w:val="21"/>
    </w:rPr>
  </w:style>
  <w:style w:type="character" w:styleId="30">
    <w:name w:val="HTML Sample"/>
    <w:basedOn w:val="22"/>
    <w:semiHidden/>
    <w:unhideWhenUsed/>
    <w:qFormat/>
    <w:uiPriority w:val="99"/>
    <w:rPr>
      <w:rFonts w:ascii="serif" w:hAnsi="serif" w:eastAsia="serif" w:cs="serif"/>
      <w:sz w:val="21"/>
      <w:szCs w:val="21"/>
    </w:rPr>
  </w:style>
  <w:style w:type="character" w:customStyle="1" w:styleId="31">
    <w:name w:val="标题 1 字符"/>
    <w:basedOn w:val="22"/>
    <w:link w:val="3"/>
    <w:qFormat/>
    <w:uiPriority w:val="0"/>
    <w:rPr>
      <w:rFonts w:ascii="Times New Roman" w:hAnsi="Times New Roman" w:eastAsia="思源宋体 CN Light" w:cs="Times New Roman"/>
      <w:b/>
      <w:bCs/>
      <w:kern w:val="44"/>
      <w:sz w:val="32"/>
      <w:szCs w:val="28"/>
    </w:rPr>
  </w:style>
  <w:style w:type="character" w:customStyle="1" w:styleId="32">
    <w:name w:val="标题 2 字符"/>
    <w:basedOn w:val="22"/>
    <w:link w:val="4"/>
    <w:qFormat/>
    <w:uiPriority w:val="0"/>
    <w:rPr>
      <w:rFonts w:ascii="Times New Roman" w:hAnsi="Times New Roman" w:eastAsia="思源宋体 CN Light" w:cs="Times New Roman"/>
      <w:b/>
      <w:bCs/>
      <w:sz w:val="30"/>
      <w:szCs w:val="32"/>
    </w:rPr>
  </w:style>
  <w:style w:type="character" w:customStyle="1" w:styleId="33">
    <w:name w:val="页眉 字符"/>
    <w:basedOn w:val="22"/>
    <w:link w:val="16"/>
    <w:qFormat/>
    <w:uiPriority w:val="99"/>
    <w:rPr>
      <w:sz w:val="18"/>
      <w:szCs w:val="18"/>
    </w:rPr>
  </w:style>
  <w:style w:type="character" w:customStyle="1" w:styleId="34">
    <w:name w:val="页脚 字符"/>
    <w:basedOn w:val="22"/>
    <w:link w:val="15"/>
    <w:qFormat/>
    <w:uiPriority w:val="99"/>
    <w:rPr>
      <w:sz w:val="18"/>
      <w:szCs w:val="18"/>
    </w:rPr>
  </w:style>
  <w:style w:type="character" w:customStyle="1" w:styleId="35">
    <w:name w:val="标题 3 字符"/>
    <w:basedOn w:val="22"/>
    <w:link w:val="5"/>
    <w:qFormat/>
    <w:uiPriority w:val="0"/>
    <w:rPr>
      <w:rFonts w:ascii="Times New Roman" w:hAnsi="Times New Roman" w:eastAsia="思源宋体 CN Light" w:cs="Times New Roman"/>
      <w:b/>
      <w:bCs/>
      <w:sz w:val="28"/>
      <w:szCs w:val="18"/>
    </w:rPr>
  </w:style>
  <w:style w:type="character" w:customStyle="1" w:styleId="36">
    <w:name w:val="标题 4 字符"/>
    <w:basedOn w:val="22"/>
    <w:link w:val="6"/>
    <w:qFormat/>
    <w:uiPriority w:val="0"/>
    <w:rPr>
      <w:rFonts w:ascii="Times New Roman" w:hAnsi="Arial" w:eastAsia="宋体" w:cs="Times New Roman"/>
      <w:b/>
      <w:bCs/>
      <w:sz w:val="24"/>
      <w:szCs w:val="28"/>
    </w:rPr>
  </w:style>
  <w:style w:type="character" w:customStyle="1" w:styleId="37">
    <w:name w:val="标题 5 字符"/>
    <w:basedOn w:val="22"/>
    <w:link w:val="7"/>
    <w:qFormat/>
    <w:uiPriority w:val="0"/>
    <w:rPr>
      <w:rFonts w:ascii="Times New Roman" w:hAnsi="Times New Roman" w:eastAsia="宋体" w:cs="Times New Roman"/>
      <w:b/>
      <w:bCs/>
      <w:sz w:val="28"/>
      <w:szCs w:val="28"/>
    </w:rPr>
  </w:style>
  <w:style w:type="paragraph" w:customStyle="1" w:styleId="38">
    <w:name w:val="列出段落1"/>
    <w:basedOn w:val="1"/>
    <w:qFormat/>
    <w:uiPriority w:val="34"/>
  </w:style>
  <w:style w:type="paragraph" w:customStyle="1" w:styleId="39">
    <w:name w:val="2"/>
    <w:basedOn w:val="1"/>
    <w:link w:val="40"/>
    <w:qFormat/>
    <w:uiPriority w:val="0"/>
    <w:pPr>
      <w:autoSpaceDE w:val="0"/>
      <w:autoSpaceDN w:val="0"/>
      <w:adjustRightInd w:val="0"/>
      <w:ind w:firstLine="0" w:firstLineChars="0"/>
      <w:jc w:val="center"/>
    </w:pPr>
    <w:rPr>
      <w:spacing w:val="4"/>
    </w:rPr>
  </w:style>
  <w:style w:type="character" w:customStyle="1" w:styleId="40">
    <w:name w:val="2 Char"/>
    <w:basedOn w:val="22"/>
    <w:link w:val="39"/>
    <w:qFormat/>
    <w:uiPriority w:val="0"/>
    <w:rPr>
      <w:rFonts w:ascii="Times New Roman" w:hAnsi="Times New Roman" w:eastAsia="宋体" w:cs="Times New Roman"/>
      <w:spacing w:val="4"/>
      <w:szCs w:val="24"/>
    </w:rPr>
  </w:style>
  <w:style w:type="paragraph" w:styleId="41">
    <w:name w:val="List Paragraph"/>
    <w:basedOn w:val="1"/>
    <w:qFormat/>
    <w:uiPriority w:val="34"/>
    <w:pPr>
      <w:spacing w:line="240" w:lineRule="auto"/>
      <w:jc w:val="both"/>
    </w:pPr>
    <w:rPr>
      <w:rFonts w:ascii="Calibri" w:hAnsi="Calibri"/>
      <w:szCs w:val="22"/>
    </w:rPr>
  </w:style>
  <w:style w:type="character" w:customStyle="1" w:styleId="42">
    <w:name w:val="批注框文本 字符"/>
    <w:basedOn w:val="22"/>
    <w:link w:val="1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43">
    <w:name w:val="Indent Normal"/>
    <w:basedOn w:val="1"/>
    <w:qFormat/>
    <w:uiPriority w:val="0"/>
    <w:pPr>
      <w:ind w:firstLine="150" w:firstLineChars="150"/>
    </w:pPr>
    <w:rPr>
      <w:sz w:val="24"/>
    </w:rPr>
  </w:style>
  <w:style w:type="paragraph" w:customStyle="1" w:styleId="44">
    <w:name w:val="1"/>
    <w:basedOn w:val="1"/>
    <w:link w:val="45"/>
    <w:qFormat/>
    <w:uiPriority w:val="0"/>
    <w:pPr>
      <w:ind w:firstLine="0" w:firstLineChars="0"/>
    </w:pPr>
  </w:style>
  <w:style w:type="character" w:customStyle="1" w:styleId="45">
    <w:name w:val="1 Char"/>
    <w:basedOn w:val="22"/>
    <w:link w:val="44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46">
    <w:name w:val="TOC 标题1"/>
    <w:basedOn w:val="3"/>
    <w:next w:val="1"/>
    <w:unhideWhenUsed/>
    <w:qFormat/>
    <w:uiPriority w:val="39"/>
    <w:pPr>
      <w:widowControl/>
      <w:numPr>
        <w:numId w:val="0"/>
      </w:numPr>
      <w:tabs>
        <w:tab w:val="clear" w:pos="0"/>
        <w:tab w:val="clear" w:pos="425"/>
      </w:tabs>
      <w:spacing w:before="480" w:after="0" w:line="276" w:lineRule="auto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</w:rPr>
  </w:style>
  <w:style w:type="paragraph" w:customStyle="1" w:styleId="47">
    <w:name w:val="图表a"/>
    <w:basedOn w:val="1"/>
    <w:qFormat/>
    <w:uiPriority w:val="0"/>
    <w:pPr>
      <w:autoSpaceDE w:val="0"/>
      <w:autoSpaceDN w:val="0"/>
      <w:adjustRightInd w:val="0"/>
      <w:ind w:firstLine="0" w:firstLineChars="0"/>
      <w:jc w:val="center"/>
    </w:pPr>
    <w:rPr>
      <w:rFonts w:hint="eastAsia" w:cs="思源宋体 CN"/>
      <w:spacing w:val="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8" Type="http://schemas.openxmlformats.org/officeDocument/2006/relationships/fontTable" Target="fontTable.xml"/><Relationship Id="rId57" Type="http://schemas.openxmlformats.org/officeDocument/2006/relationships/customXml" Target="../customXml/item2.xml"/><Relationship Id="rId56" Type="http://schemas.openxmlformats.org/officeDocument/2006/relationships/numbering" Target="numbering.xml"/><Relationship Id="rId55" Type="http://schemas.openxmlformats.org/officeDocument/2006/relationships/customXml" Target="../customXml/item1.xml"/><Relationship Id="rId54" Type="http://schemas.openxmlformats.org/officeDocument/2006/relationships/image" Target="media/image41.png"/><Relationship Id="rId53" Type="http://schemas.openxmlformats.org/officeDocument/2006/relationships/image" Target="media/image40.png"/><Relationship Id="rId52" Type="http://schemas.openxmlformats.org/officeDocument/2006/relationships/image" Target="media/image39.png"/><Relationship Id="rId51" Type="http://schemas.openxmlformats.org/officeDocument/2006/relationships/image" Target="media/image38.png"/><Relationship Id="rId50" Type="http://schemas.openxmlformats.org/officeDocument/2006/relationships/image" Target="media/image37.png"/><Relationship Id="rId5" Type="http://schemas.openxmlformats.org/officeDocument/2006/relationships/header" Target="header1.xml"/><Relationship Id="rId49" Type="http://schemas.openxmlformats.org/officeDocument/2006/relationships/image" Target="media/image36.png"/><Relationship Id="rId48" Type="http://schemas.openxmlformats.org/officeDocument/2006/relationships/image" Target="media/image35.png"/><Relationship Id="rId47" Type="http://schemas.openxmlformats.org/officeDocument/2006/relationships/image" Target="media/image34.png"/><Relationship Id="rId46" Type="http://schemas.openxmlformats.org/officeDocument/2006/relationships/image" Target="media/image33.png"/><Relationship Id="rId45" Type="http://schemas.openxmlformats.org/officeDocument/2006/relationships/image" Target="media/image32.png"/><Relationship Id="rId44" Type="http://schemas.openxmlformats.org/officeDocument/2006/relationships/image" Target="media/image31.png"/><Relationship Id="rId43" Type="http://schemas.openxmlformats.org/officeDocument/2006/relationships/image" Target="media/image30.png"/><Relationship Id="rId42" Type="http://schemas.openxmlformats.org/officeDocument/2006/relationships/image" Target="media/image29.png"/><Relationship Id="rId41" Type="http://schemas.openxmlformats.org/officeDocument/2006/relationships/image" Target="media/image28.png"/><Relationship Id="rId40" Type="http://schemas.openxmlformats.org/officeDocument/2006/relationships/image" Target="media/image27.png"/><Relationship Id="rId4" Type="http://schemas.openxmlformats.org/officeDocument/2006/relationships/endnotes" Target="endnotes.xml"/><Relationship Id="rId39" Type="http://schemas.openxmlformats.org/officeDocument/2006/relationships/image" Target="media/image26.png"/><Relationship Id="rId38" Type="http://schemas.openxmlformats.org/officeDocument/2006/relationships/image" Target="media/image25.png"/><Relationship Id="rId37" Type="http://schemas.openxmlformats.org/officeDocument/2006/relationships/image" Target="media/image24.png"/><Relationship Id="rId36" Type="http://schemas.openxmlformats.org/officeDocument/2006/relationships/image" Target="media/image23.png"/><Relationship Id="rId35" Type="http://schemas.openxmlformats.org/officeDocument/2006/relationships/image" Target="media/image22.png"/><Relationship Id="rId34" Type="http://schemas.openxmlformats.org/officeDocument/2006/relationships/image" Target="media/image21.png"/><Relationship Id="rId33" Type="http://schemas.openxmlformats.org/officeDocument/2006/relationships/image" Target="media/image20.png"/><Relationship Id="rId32" Type="http://schemas.openxmlformats.org/officeDocument/2006/relationships/image" Target="media/image19.png"/><Relationship Id="rId31" Type="http://schemas.openxmlformats.org/officeDocument/2006/relationships/image" Target="media/image18.png"/><Relationship Id="rId30" Type="http://schemas.openxmlformats.org/officeDocument/2006/relationships/image" Target="media/image17.png"/><Relationship Id="rId3" Type="http://schemas.openxmlformats.org/officeDocument/2006/relationships/footnotes" Target="footnotes.xml"/><Relationship Id="rId29" Type="http://schemas.openxmlformats.org/officeDocument/2006/relationships/image" Target="media/image16.png"/><Relationship Id="rId28" Type="http://schemas.openxmlformats.org/officeDocument/2006/relationships/image" Target="media/image15.png"/><Relationship Id="rId27" Type="http://schemas.openxmlformats.org/officeDocument/2006/relationships/image" Target="media/image14.png"/><Relationship Id="rId26" Type="http://schemas.openxmlformats.org/officeDocument/2006/relationships/image" Target="media/image13.png"/><Relationship Id="rId25" Type="http://schemas.openxmlformats.org/officeDocument/2006/relationships/image" Target="media/image12.png"/><Relationship Id="rId24" Type="http://schemas.openxmlformats.org/officeDocument/2006/relationships/image" Target="media/image11.png"/><Relationship Id="rId23" Type="http://schemas.openxmlformats.org/officeDocument/2006/relationships/image" Target="media/image10.png"/><Relationship Id="rId22" Type="http://schemas.openxmlformats.org/officeDocument/2006/relationships/image" Target="media/image9.png"/><Relationship Id="rId21" Type="http://schemas.openxmlformats.org/officeDocument/2006/relationships/image" Target="media/image8.png"/><Relationship Id="rId20" Type="http://schemas.openxmlformats.org/officeDocument/2006/relationships/image" Target="media/image7.png"/><Relationship Id="rId2" Type="http://schemas.openxmlformats.org/officeDocument/2006/relationships/settings" Target="settings.xml"/><Relationship Id="rId19" Type="http://schemas.openxmlformats.org/officeDocument/2006/relationships/image" Target="media/image6.jpeg"/><Relationship Id="rId18" Type="http://schemas.openxmlformats.org/officeDocument/2006/relationships/image" Target="media/image5.jpeg"/><Relationship Id="rId17" Type="http://schemas.openxmlformats.org/officeDocument/2006/relationships/image" Target="media/image4.png"/><Relationship Id="rId16" Type="http://schemas.openxmlformats.org/officeDocument/2006/relationships/image" Target="media/image3.jpeg"/><Relationship Id="rId15" Type="http://schemas.openxmlformats.org/officeDocument/2006/relationships/image" Target="media/image2.png"/><Relationship Id="rId14" Type="http://schemas.openxmlformats.org/officeDocument/2006/relationships/image" Target="media/image1.png"/><Relationship Id="rId13" Type="http://schemas.openxmlformats.org/officeDocument/2006/relationships/theme" Target="theme/theme1.xml"/><Relationship Id="rId12" Type="http://schemas.openxmlformats.org/officeDocument/2006/relationships/footer" Target="footer4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F1E131A-C432-4387-A9C7-4FBE7D93A43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20</Pages>
  <Words>1531</Words>
  <Characters>1719</Characters>
  <Lines>22</Lines>
  <Paragraphs>6</Paragraphs>
  <TotalTime>9</TotalTime>
  <ScaleCrop>false</ScaleCrop>
  <LinksUpToDate>false</LinksUpToDate>
  <CharactersWithSpaces>1837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2016-11-14T08:27:00Z</dcterms:created>
  <dc:creator>chenyj</dc:creator>
  <cp:lastModifiedBy>s</cp:lastModifiedBy>
  <dcterms:modified xsi:type="dcterms:W3CDTF">2023-05-23T04:21:12Z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06CA1EC2FA7E4989876BCDE9B5E62847_13</vt:lpwstr>
  </property>
</Properties>
</file>