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4B1657">
      <w:pPr>
        <w:keepNext w:val="0"/>
        <w:keepLines w:val="0"/>
        <w:pageBreakBefore w:val="0"/>
        <w:widowControl w:val="0"/>
        <w:kinsoku/>
        <w:wordWrap/>
        <w:overflowPunct/>
        <w:topLinePunct w:val="0"/>
        <w:bidi w:val="0"/>
        <w:snapToGrid/>
        <w:spacing w:line="360" w:lineRule="auto"/>
        <w:jc w:val="center"/>
        <w:textAlignment w:val="auto"/>
        <w:rPr>
          <w:rFonts w:hint="eastAsia" w:ascii="仿宋" w:hAnsi="仿宋" w:eastAsia="仿宋" w:cs="仿宋"/>
          <w:b/>
          <w:color w:val="auto"/>
          <w:sz w:val="44"/>
          <w:szCs w:val="44"/>
          <w:highlight w:val="none"/>
        </w:rPr>
      </w:pPr>
      <w:r>
        <w:rPr>
          <w:rFonts w:hint="eastAsia" w:ascii="仿宋" w:hAnsi="仿宋" w:eastAsia="仿宋" w:cs="仿宋"/>
          <w:b/>
          <w:color w:val="auto"/>
          <w:sz w:val="44"/>
          <w:szCs w:val="44"/>
          <w:highlight w:val="none"/>
          <w:lang w:val="en-US" w:eastAsia="zh-CN"/>
        </w:rPr>
        <w:t>开、</w:t>
      </w:r>
      <w:r>
        <w:rPr>
          <w:rFonts w:hint="eastAsia" w:ascii="仿宋" w:hAnsi="仿宋" w:eastAsia="仿宋" w:cs="仿宋"/>
          <w:b/>
          <w:color w:val="auto"/>
          <w:sz w:val="44"/>
          <w:szCs w:val="44"/>
          <w:highlight w:val="none"/>
        </w:rPr>
        <w:t>评标</w:t>
      </w:r>
      <w:r>
        <w:rPr>
          <w:rFonts w:hint="eastAsia" w:ascii="仿宋" w:hAnsi="仿宋" w:eastAsia="仿宋" w:cs="仿宋"/>
          <w:b/>
          <w:color w:val="auto"/>
          <w:sz w:val="44"/>
          <w:szCs w:val="44"/>
          <w:highlight w:val="none"/>
          <w:lang w:val="en-US" w:eastAsia="zh-CN"/>
        </w:rPr>
        <w:t>会现场</w:t>
      </w:r>
      <w:r>
        <w:rPr>
          <w:rFonts w:hint="eastAsia" w:ascii="仿宋" w:hAnsi="仿宋" w:eastAsia="仿宋" w:cs="仿宋"/>
          <w:b/>
          <w:color w:val="auto"/>
          <w:sz w:val="44"/>
          <w:szCs w:val="44"/>
          <w:highlight w:val="none"/>
        </w:rPr>
        <w:t>记录</w:t>
      </w:r>
    </w:p>
    <w:p w14:paraId="6F739641">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项目名称：</w:t>
      </w:r>
      <w:r>
        <w:rPr>
          <w:rFonts w:hint="eastAsia" w:ascii="仿宋" w:hAnsi="仿宋" w:eastAsia="仿宋" w:cs="仿宋"/>
          <w:color w:val="auto"/>
          <w:sz w:val="24"/>
          <w:highlight w:val="none"/>
          <w:lang w:val="en-US" w:eastAsia="zh-CN"/>
        </w:rPr>
        <w:t>新疆克拉玛依市准噶尔盆地绿洲保护综合治理项目(2026一2029年)-白碱滩区一标段</w:t>
      </w:r>
    </w:p>
    <w:tbl>
      <w:tblPr>
        <w:tblStyle w:val="3"/>
        <w:tblW w:w="10039"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10"/>
        <w:gridCol w:w="2863"/>
        <w:gridCol w:w="1607"/>
        <w:gridCol w:w="3359"/>
      </w:tblGrid>
      <w:tr w14:paraId="0E8B0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6" w:hRule="atLeast"/>
        </w:trPr>
        <w:tc>
          <w:tcPr>
            <w:tcW w:w="2210" w:type="dxa"/>
            <w:noWrap w:val="0"/>
            <w:vAlign w:val="center"/>
          </w:tcPr>
          <w:p w14:paraId="6606CB80">
            <w:pPr>
              <w:keepNext w:val="0"/>
              <w:keepLines w:val="0"/>
              <w:pageBreakBefore w:val="0"/>
              <w:widowControl w:val="0"/>
              <w:kinsoku/>
              <w:wordWrap/>
              <w:overflowPunct/>
              <w:topLinePunct w:val="0"/>
              <w:bidi w:val="0"/>
              <w:snapToGrid/>
              <w:spacing w:line="360" w:lineRule="auto"/>
              <w:jc w:val="center"/>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招标代理机构</w:t>
            </w:r>
          </w:p>
        </w:tc>
        <w:tc>
          <w:tcPr>
            <w:tcW w:w="7829" w:type="dxa"/>
            <w:gridSpan w:val="3"/>
            <w:noWrap w:val="0"/>
            <w:vAlign w:val="center"/>
          </w:tcPr>
          <w:p w14:paraId="4FD86D2A">
            <w:pPr>
              <w:keepNext w:val="0"/>
              <w:keepLines w:val="0"/>
              <w:pageBreakBefore w:val="0"/>
              <w:widowControl w:val="0"/>
              <w:kinsoku/>
              <w:wordWrap/>
              <w:overflowPunct/>
              <w:topLinePunct w:val="0"/>
              <w:bidi w:val="0"/>
              <w:snapToGrid/>
              <w:spacing w:line="360" w:lineRule="auto"/>
              <w:textAlignment w:val="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新疆</w:t>
            </w:r>
            <w:r>
              <w:rPr>
                <w:rFonts w:hint="eastAsia" w:ascii="仿宋" w:hAnsi="仿宋" w:eastAsia="仿宋" w:cs="仿宋"/>
                <w:color w:val="auto"/>
                <w:sz w:val="24"/>
                <w:highlight w:val="none"/>
                <w:lang w:eastAsia="zh-CN"/>
              </w:rPr>
              <w:t>惠文建设工程项目管理咨询有限公司</w:t>
            </w:r>
          </w:p>
        </w:tc>
      </w:tr>
      <w:tr w14:paraId="68C5A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 w:hRule="atLeast"/>
        </w:trPr>
        <w:tc>
          <w:tcPr>
            <w:tcW w:w="2210" w:type="dxa"/>
            <w:noWrap w:val="0"/>
            <w:vAlign w:val="center"/>
          </w:tcPr>
          <w:p w14:paraId="7BF4B235">
            <w:pPr>
              <w:keepNext w:val="0"/>
              <w:keepLines w:val="0"/>
              <w:pageBreakBefore w:val="0"/>
              <w:widowControl w:val="0"/>
              <w:kinsoku/>
              <w:wordWrap/>
              <w:overflowPunct/>
              <w:topLinePunct w:val="0"/>
              <w:bidi w:val="0"/>
              <w:snapToGrid/>
              <w:spacing w:line="360" w:lineRule="auto"/>
              <w:ind w:firstLine="480" w:firstLineChars="200"/>
              <w:jc w:val="both"/>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开标时间</w:t>
            </w:r>
          </w:p>
        </w:tc>
        <w:tc>
          <w:tcPr>
            <w:tcW w:w="2863" w:type="dxa"/>
            <w:noWrap w:val="0"/>
            <w:vAlign w:val="center"/>
          </w:tcPr>
          <w:p w14:paraId="5870F786">
            <w:pPr>
              <w:keepNext w:val="0"/>
              <w:keepLines w:val="0"/>
              <w:pageBreakBefore w:val="0"/>
              <w:widowControl w:val="0"/>
              <w:kinsoku/>
              <w:wordWrap/>
              <w:overflowPunct/>
              <w:topLinePunct w:val="0"/>
              <w:bidi w:val="0"/>
              <w:snapToGrid/>
              <w:spacing w:line="360" w:lineRule="auto"/>
              <w:jc w:val="both"/>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2026年09月18日 10:30</w:t>
            </w:r>
          </w:p>
        </w:tc>
        <w:tc>
          <w:tcPr>
            <w:tcW w:w="1607" w:type="dxa"/>
            <w:noWrap w:val="0"/>
            <w:vAlign w:val="center"/>
          </w:tcPr>
          <w:p w14:paraId="22A7DD30">
            <w:pPr>
              <w:keepNext w:val="0"/>
              <w:keepLines w:val="0"/>
              <w:pageBreakBefore w:val="0"/>
              <w:widowControl w:val="0"/>
              <w:kinsoku/>
              <w:wordWrap/>
              <w:overflowPunct/>
              <w:topLinePunct w:val="0"/>
              <w:bidi w:val="0"/>
              <w:snapToGrid/>
              <w:spacing w:line="360" w:lineRule="auto"/>
              <w:jc w:val="center"/>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开标地点</w:t>
            </w:r>
          </w:p>
        </w:tc>
        <w:tc>
          <w:tcPr>
            <w:tcW w:w="3359" w:type="dxa"/>
            <w:noWrap w:val="0"/>
            <w:vAlign w:val="center"/>
          </w:tcPr>
          <w:p w14:paraId="53B3F939">
            <w:pPr>
              <w:keepNext w:val="0"/>
              <w:keepLines w:val="0"/>
              <w:pageBreakBefore w:val="0"/>
              <w:widowControl w:val="0"/>
              <w:kinsoku/>
              <w:wordWrap/>
              <w:overflowPunct/>
              <w:topLinePunct w:val="0"/>
              <w:bidi w:val="0"/>
              <w:snapToGrid/>
              <w:spacing w:line="360" w:lineRule="auto"/>
              <w:jc w:val="center"/>
              <w:textAlignment w:val="auto"/>
              <w:rPr>
                <w:rFonts w:hint="eastAsia" w:ascii="仿宋" w:hAnsi="仿宋" w:eastAsia="仿宋" w:cs="仿宋"/>
                <w:color w:val="auto"/>
                <w:sz w:val="24"/>
                <w:highlight w:val="none"/>
              </w:rPr>
            </w:pPr>
            <w:r>
              <w:rPr>
                <w:rFonts w:hint="eastAsia" w:ascii="仿宋" w:hAnsi="仿宋" w:eastAsia="仿宋" w:cs="仿宋"/>
                <w:color w:val="auto"/>
                <w:sz w:val="24"/>
                <w:szCs w:val="24"/>
                <w:highlight w:val="none"/>
                <w:lang w:val="en-US" w:eastAsia="zh-CN"/>
              </w:rPr>
              <w:t>克拉玛依市政府2号楼政务服务和公共资源交易中心</w:t>
            </w:r>
          </w:p>
        </w:tc>
      </w:tr>
      <w:tr w14:paraId="7A1C1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10039" w:type="dxa"/>
            <w:gridSpan w:val="4"/>
            <w:noWrap w:val="0"/>
            <w:vAlign w:val="center"/>
          </w:tcPr>
          <w:p w14:paraId="0903EB0C">
            <w:pPr>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评标内容：</w:t>
            </w:r>
          </w:p>
        </w:tc>
      </w:tr>
      <w:tr w14:paraId="6B1B3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5" w:hRule="atLeast"/>
        </w:trPr>
        <w:tc>
          <w:tcPr>
            <w:tcW w:w="10039" w:type="dxa"/>
            <w:gridSpan w:val="4"/>
            <w:noWrap w:val="0"/>
            <w:vAlign w:val="center"/>
          </w:tcPr>
          <w:p w14:paraId="5E822DE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color w:val="auto"/>
                <w:sz w:val="24"/>
                <w:highlight w:val="none"/>
                <w:lang w:val="en-US" w:eastAsia="zh-CN"/>
              </w:rPr>
            </w:pPr>
            <w:r>
              <w:rPr>
                <w:rFonts w:hint="eastAsia" w:ascii="仿宋" w:hAnsi="仿宋" w:eastAsia="仿宋" w:cs="仿宋"/>
                <w:b/>
                <w:color w:val="auto"/>
                <w:sz w:val="24"/>
                <w:highlight w:val="none"/>
                <w:lang w:val="en-US" w:eastAsia="zh-CN"/>
              </w:rPr>
              <w:t>一、电子开标（10:30）</w:t>
            </w:r>
          </w:p>
          <w:p w14:paraId="43A8DFA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1、在招标文件规定的获取文件时间内，共有47家投标单位获取招标文件；</w:t>
            </w:r>
          </w:p>
          <w:p w14:paraId="3DF6EF5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克拉玛依市政务服务和公共资源交易中心开标一室，在招标文件规定的递交投标文件截止时间止，共有：新疆友联建设工程有限责任公司、新疆新城园林生态开发有限公司、皓泰工程建设集团有限公司、新疆宏宇盛祥建筑工程有限公司、新疆广陆工程建设有限公司、张掖市华泰建筑工程有限责任公司、新疆瑞绎昕生态园林技术有限公司、新疆润煌建设工程有限公司、克拉玛依市独山子区城市建设开发有限责任公司、新疆广阳工程建设有限公司、克拉玛依市康佳建筑安装有限责任公司、克拉玛依市金牛工程建设有限责任公司、克拉玛依友联工程建设有限公司、克拉玛依市永安建筑安装总公司</w:t>
            </w:r>
            <w:r>
              <w:rPr>
                <w:rFonts w:hint="eastAsia" w:ascii="仿宋" w:hAnsi="仿宋" w:eastAsia="仿宋" w:cs="仿宋"/>
                <w:color w:val="auto"/>
                <w:sz w:val="24"/>
                <w:highlight w:val="none"/>
                <w:lang w:val="en-US" w:eastAsia="zh-CN"/>
              </w:rPr>
              <w:t>、四川腾博鑫建设工程管理有限公司共15家投标单位按规定时间递交加密电子投标文件；</w:t>
            </w:r>
          </w:p>
          <w:p w14:paraId="50CBCA3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3、招标代理机构工作人员在“克拉玛依市公共资源交易网“不见面”交易大厅触发“开始解密”功能后由各投标单位对自家投标文件进行解密，最终15位投标人的投标文件均解密成功；</w:t>
            </w:r>
          </w:p>
          <w:p w14:paraId="6F18CA8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4、进入唱标阶段，由工作人员进行唱标，唱标完毕后，各投标单位对唱标内容均无异议；</w:t>
            </w:r>
          </w:p>
          <w:p w14:paraId="7373AEB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5、在系统中录入招标控制价及不可竞争费用金额。</w:t>
            </w:r>
          </w:p>
          <w:p w14:paraId="64F40DE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lang w:val="en-US" w:eastAsia="zh-CN"/>
              </w:rPr>
              <w:t>开标结束。</w:t>
            </w:r>
          </w:p>
          <w:p w14:paraId="2BF29A9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lang w:val="en-US" w:eastAsia="zh-CN"/>
              </w:rPr>
              <w:t>二</w:t>
            </w:r>
            <w:r>
              <w:rPr>
                <w:rFonts w:hint="eastAsia" w:ascii="仿宋" w:hAnsi="仿宋" w:eastAsia="仿宋" w:cs="仿宋"/>
                <w:b/>
                <w:color w:val="auto"/>
                <w:sz w:val="24"/>
                <w:highlight w:val="none"/>
              </w:rPr>
              <w:t>、标前会</w:t>
            </w:r>
          </w:p>
          <w:p w14:paraId="7B2C229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1、招标代理机构工作人员同步评委基本信息；</w:t>
            </w:r>
          </w:p>
          <w:p w14:paraId="272D37C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2、各位评委签到；</w:t>
            </w:r>
          </w:p>
          <w:p w14:paraId="03C76C2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招标代理机构工作人员介绍本次评标委员会的组成及现场监督：本次评标委员会由5人组成，其中招标人代表1人，其余经济、技术类专家4人，在建设工程交易中心专家库中随</w:t>
            </w:r>
          </w:p>
          <w:p w14:paraId="1D351F2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机抽取。</w:t>
            </w:r>
          </w:p>
          <w:p w14:paraId="51B01DB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4、评标委员会成员在评标系统中自行推选评标委员会组长。</w:t>
            </w:r>
          </w:p>
          <w:p w14:paraId="63C0835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5、招标代理机构工作人员向各位评委介绍电子评标系统基本流程及会场秩序。</w:t>
            </w:r>
          </w:p>
        </w:tc>
      </w:tr>
    </w:tbl>
    <w:p w14:paraId="353DC7AB">
      <w:pPr>
        <w:keepNext w:val="0"/>
        <w:keepLines w:val="0"/>
        <w:pageBreakBefore w:val="0"/>
        <w:widowControl w:val="0"/>
        <w:kinsoku/>
        <w:wordWrap/>
        <w:overflowPunct/>
        <w:topLinePunct w:val="0"/>
        <w:bidi w:val="0"/>
        <w:snapToGrid/>
        <w:spacing w:line="360" w:lineRule="auto"/>
        <w:jc w:val="center"/>
        <w:textAlignment w:val="auto"/>
        <w:rPr>
          <w:rFonts w:hint="eastAsia" w:ascii="仿宋" w:hAnsi="仿宋" w:eastAsia="仿宋" w:cs="仿宋"/>
          <w:b/>
          <w:color w:val="auto"/>
          <w:sz w:val="44"/>
          <w:szCs w:val="44"/>
          <w:highlight w:val="none"/>
        </w:rPr>
      </w:pPr>
      <w:r>
        <w:rPr>
          <w:rFonts w:hint="eastAsia" w:ascii="仿宋" w:hAnsi="仿宋" w:eastAsia="仿宋" w:cs="仿宋"/>
          <w:b/>
          <w:color w:val="auto"/>
          <w:sz w:val="44"/>
          <w:szCs w:val="44"/>
          <w:highlight w:val="none"/>
          <w:lang w:val="en-US" w:eastAsia="zh-CN"/>
        </w:rPr>
        <w:t>开、</w:t>
      </w:r>
      <w:r>
        <w:rPr>
          <w:rFonts w:hint="eastAsia" w:ascii="仿宋" w:hAnsi="仿宋" w:eastAsia="仿宋" w:cs="仿宋"/>
          <w:b/>
          <w:color w:val="auto"/>
          <w:sz w:val="44"/>
          <w:szCs w:val="44"/>
          <w:highlight w:val="none"/>
        </w:rPr>
        <w:t>评标</w:t>
      </w:r>
      <w:r>
        <w:rPr>
          <w:rFonts w:hint="eastAsia" w:ascii="仿宋" w:hAnsi="仿宋" w:eastAsia="仿宋" w:cs="仿宋"/>
          <w:b/>
          <w:color w:val="auto"/>
          <w:sz w:val="44"/>
          <w:szCs w:val="44"/>
          <w:highlight w:val="none"/>
          <w:lang w:val="en-US" w:eastAsia="zh-CN"/>
        </w:rPr>
        <w:t>会现场</w:t>
      </w:r>
      <w:r>
        <w:rPr>
          <w:rFonts w:hint="eastAsia" w:ascii="仿宋" w:hAnsi="仿宋" w:eastAsia="仿宋" w:cs="仿宋"/>
          <w:b/>
          <w:color w:val="auto"/>
          <w:sz w:val="44"/>
          <w:szCs w:val="44"/>
          <w:highlight w:val="none"/>
        </w:rPr>
        <w:t>记录</w:t>
      </w:r>
    </w:p>
    <w:p w14:paraId="70498A2D">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 w:val="24"/>
          <w:highlight w:val="none"/>
        </w:rPr>
        <w:t>项目名称：</w:t>
      </w:r>
      <w:r>
        <w:rPr>
          <w:rFonts w:hint="eastAsia" w:ascii="仿宋" w:hAnsi="仿宋" w:eastAsia="仿宋" w:cs="仿宋"/>
          <w:color w:val="auto"/>
          <w:sz w:val="24"/>
          <w:highlight w:val="none"/>
          <w:lang w:val="en-US" w:eastAsia="zh-CN"/>
        </w:rPr>
        <w:t>新疆克拉玛依市准噶尔盆地绿洲保护综合治理项目(2026一2029年)-白碱滩区一标段</w:t>
      </w:r>
    </w:p>
    <w:tbl>
      <w:tblPr>
        <w:tblStyle w:val="3"/>
        <w:tblW w:w="10119"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87"/>
        <w:gridCol w:w="2827"/>
        <w:gridCol w:w="1586"/>
        <w:gridCol w:w="3319"/>
      </w:tblGrid>
      <w:tr w14:paraId="346CF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 w:hRule="atLeast"/>
        </w:trPr>
        <w:tc>
          <w:tcPr>
            <w:tcW w:w="2387" w:type="dxa"/>
            <w:noWrap w:val="0"/>
            <w:vAlign w:val="center"/>
          </w:tcPr>
          <w:p w14:paraId="3076C1F4">
            <w:pPr>
              <w:keepNext w:val="0"/>
              <w:keepLines w:val="0"/>
              <w:pageBreakBefore w:val="0"/>
              <w:widowControl w:val="0"/>
              <w:kinsoku/>
              <w:wordWrap/>
              <w:overflowPunct/>
              <w:topLinePunct w:val="0"/>
              <w:bidi w:val="0"/>
              <w:snapToGrid/>
              <w:spacing w:line="360" w:lineRule="auto"/>
              <w:jc w:val="center"/>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招标代理机构</w:t>
            </w:r>
          </w:p>
        </w:tc>
        <w:tc>
          <w:tcPr>
            <w:tcW w:w="7732" w:type="dxa"/>
            <w:gridSpan w:val="3"/>
            <w:noWrap w:val="0"/>
            <w:vAlign w:val="center"/>
          </w:tcPr>
          <w:p w14:paraId="7DF7E349">
            <w:pPr>
              <w:keepNext w:val="0"/>
              <w:keepLines w:val="0"/>
              <w:pageBreakBefore w:val="0"/>
              <w:widowControl w:val="0"/>
              <w:kinsoku/>
              <w:wordWrap/>
              <w:overflowPunct/>
              <w:topLinePunct w:val="0"/>
              <w:bidi w:val="0"/>
              <w:snapToGrid/>
              <w:spacing w:line="360" w:lineRule="auto"/>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新疆</w:t>
            </w:r>
            <w:r>
              <w:rPr>
                <w:rFonts w:hint="eastAsia" w:ascii="仿宋" w:hAnsi="仿宋" w:eastAsia="仿宋" w:cs="仿宋"/>
                <w:color w:val="auto"/>
                <w:sz w:val="24"/>
                <w:highlight w:val="none"/>
                <w:lang w:eastAsia="zh-CN"/>
              </w:rPr>
              <w:t>惠文建设工程项目管理咨询有限公司</w:t>
            </w:r>
          </w:p>
        </w:tc>
      </w:tr>
      <w:tr w14:paraId="6912A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trPr>
        <w:tc>
          <w:tcPr>
            <w:tcW w:w="2387" w:type="dxa"/>
            <w:noWrap w:val="0"/>
            <w:vAlign w:val="center"/>
          </w:tcPr>
          <w:p w14:paraId="6CF295FF">
            <w:pPr>
              <w:keepNext w:val="0"/>
              <w:keepLines w:val="0"/>
              <w:pageBreakBefore w:val="0"/>
              <w:widowControl w:val="0"/>
              <w:kinsoku/>
              <w:wordWrap/>
              <w:overflowPunct/>
              <w:topLinePunct w:val="0"/>
              <w:bidi w:val="0"/>
              <w:snapToGrid/>
              <w:spacing w:line="360" w:lineRule="auto"/>
              <w:ind w:firstLine="480" w:firstLineChars="200"/>
              <w:jc w:val="both"/>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开标时间</w:t>
            </w:r>
          </w:p>
        </w:tc>
        <w:tc>
          <w:tcPr>
            <w:tcW w:w="2827" w:type="dxa"/>
            <w:noWrap w:val="0"/>
            <w:vAlign w:val="center"/>
          </w:tcPr>
          <w:p w14:paraId="290D9E71">
            <w:pPr>
              <w:keepNext w:val="0"/>
              <w:keepLines w:val="0"/>
              <w:pageBreakBefore w:val="0"/>
              <w:widowControl w:val="0"/>
              <w:kinsoku/>
              <w:wordWrap/>
              <w:overflowPunct/>
              <w:topLinePunct w:val="0"/>
              <w:bidi w:val="0"/>
              <w:snapToGrid/>
              <w:spacing w:line="360" w:lineRule="auto"/>
              <w:jc w:val="both"/>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2026年09月18日 10:30</w:t>
            </w:r>
          </w:p>
        </w:tc>
        <w:tc>
          <w:tcPr>
            <w:tcW w:w="1586" w:type="dxa"/>
            <w:noWrap w:val="0"/>
            <w:vAlign w:val="center"/>
          </w:tcPr>
          <w:p w14:paraId="39F0B48C">
            <w:pPr>
              <w:keepNext w:val="0"/>
              <w:keepLines w:val="0"/>
              <w:pageBreakBefore w:val="0"/>
              <w:widowControl w:val="0"/>
              <w:kinsoku/>
              <w:wordWrap/>
              <w:overflowPunct/>
              <w:topLinePunct w:val="0"/>
              <w:bidi w:val="0"/>
              <w:snapToGrid/>
              <w:spacing w:line="360" w:lineRule="auto"/>
              <w:jc w:val="center"/>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开标地点</w:t>
            </w:r>
          </w:p>
        </w:tc>
        <w:tc>
          <w:tcPr>
            <w:tcW w:w="3319" w:type="dxa"/>
            <w:noWrap w:val="0"/>
            <w:vAlign w:val="center"/>
          </w:tcPr>
          <w:p w14:paraId="21D7D7EF">
            <w:pPr>
              <w:keepNext w:val="0"/>
              <w:keepLines w:val="0"/>
              <w:pageBreakBefore w:val="0"/>
              <w:widowControl w:val="0"/>
              <w:kinsoku/>
              <w:wordWrap/>
              <w:overflowPunct/>
              <w:topLinePunct w:val="0"/>
              <w:bidi w:val="0"/>
              <w:snapToGrid/>
              <w:spacing w:line="360" w:lineRule="auto"/>
              <w:jc w:val="center"/>
              <w:textAlignment w:val="auto"/>
              <w:rPr>
                <w:rFonts w:hint="eastAsia" w:ascii="仿宋" w:hAnsi="仿宋" w:eastAsia="仿宋" w:cs="仿宋"/>
                <w:color w:val="auto"/>
                <w:sz w:val="24"/>
                <w:highlight w:val="none"/>
              </w:rPr>
            </w:pPr>
            <w:r>
              <w:rPr>
                <w:rFonts w:hint="eastAsia" w:ascii="仿宋" w:hAnsi="仿宋" w:eastAsia="仿宋" w:cs="仿宋"/>
                <w:color w:val="auto"/>
                <w:sz w:val="24"/>
                <w:szCs w:val="24"/>
                <w:highlight w:val="none"/>
                <w:lang w:val="en-US" w:eastAsia="zh-CN"/>
              </w:rPr>
              <w:t>克拉玛依市政府2号楼政务服务和公共资源交易中心</w:t>
            </w:r>
          </w:p>
        </w:tc>
      </w:tr>
      <w:tr w14:paraId="022D9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trPr>
        <w:tc>
          <w:tcPr>
            <w:tcW w:w="10119" w:type="dxa"/>
            <w:gridSpan w:val="4"/>
            <w:noWrap w:val="0"/>
            <w:vAlign w:val="center"/>
          </w:tcPr>
          <w:p w14:paraId="11ED3713">
            <w:pPr>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评标内容：</w:t>
            </w:r>
          </w:p>
        </w:tc>
      </w:tr>
      <w:tr w14:paraId="167FA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5" w:hRule="atLeast"/>
        </w:trPr>
        <w:tc>
          <w:tcPr>
            <w:tcW w:w="10119" w:type="dxa"/>
            <w:gridSpan w:val="4"/>
            <w:noWrap w:val="0"/>
            <w:vAlign w:val="top"/>
          </w:tcPr>
          <w:p w14:paraId="7DCB1AF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color w:val="auto"/>
                <w:sz w:val="24"/>
                <w:highlight w:val="none"/>
                <w:lang w:val="en-US" w:eastAsia="zh-CN"/>
              </w:rPr>
            </w:pPr>
            <w:r>
              <w:rPr>
                <w:rFonts w:hint="eastAsia" w:ascii="仿宋" w:hAnsi="仿宋" w:eastAsia="仿宋" w:cs="仿宋"/>
                <w:b/>
                <w:color w:val="auto"/>
                <w:sz w:val="24"/>
                <w:highlight w:val="none"/>
                <w:lang w:val="en-US" w:eastAsia="zh-CN"/>
              </w:rPr>
              <w:t>三、电子评标</w:t>
            </w:r>
          </w:p>
          <w:p w14:paraId="3212C12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1、招标代理机构工作人员宣布评标开始，本次评标共分为两个阶段，（1）初步评审（2）详细评审。</w:t>
            </w:r>
          </w:p>
          <w:p w14:paraId="26D8C33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评标委员会根据招标文件的“初步评审标准”，首先对各投标人的“投标文件”进行初步评审，其中：新疆润煌建设工程有限公司：投标报名的项目负责人与投标文件的项目负责人不一致；新疆瑞绎昕生态园林技术有限公司：“被限制市场准入、招标投标活动，企业信誉”未加盖公章，新疆新城园林生态开发有限公司、张掖市华泰建筑工程有限责任公司未按招标文件要求提供相关专业质量员，以上4家投标单位初步评审不予通过，其余各投标单位初步评审均符合要求。</w:t>
            </w:r>
          </w:p>
          <w:p w14:paraId="742D20E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3、各评标委员会成员对商务标进行打分，评标委员会组长对商务标评分进行汇总；</w:t>
            </w:r>
          </w:p>
          <w:p w14:paraId="25094CE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4、各评标委员会成员对技术标（暗标）进行独立评审，最终评标委员会组长汇总后提交，进入企业诚信评审；</w:t>
            </w:r>
          </w:p>
          <w:p w14:paraId="5CF0665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按照自治区住建厅《关于规范自治区住房城乡建设领域信用评价工作的通知》（新建法函〔2026〕5号）要求，自治区住房城乡建设领域信用评价全部暂停新增评价、暂停更新结果、暂停对外发布，该项目所有投标单位的信用分值统一按0分计取，其他评审分值、权重不予调整。</w:t>
            </w:r>
          </w:p>
          <w:p w14:paraId="1CF22F1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6、进入报价修正阶段，各投标单位经修正后的报价均未超出控制价，均通过报价修正；</w:t>
            </w:r>
          </w:p>
          <w:p w14:paraId="5CB8809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7、本项目属于市政工程。招标人代表在“克拉玛依不见面开标大厅”模块，按照招标文件规定随机抽取K、K1、Q值，随机抽取的值分别为：K值为 3 %、K1值为10%、Q值为1，K2值为0.85（市政公用工程）；</w:t>
            </w:r>
          </w:p>
          <w:p w14:paraId="5AECDA5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8、通过电子评标辅助系统计算投标报价得分；</w:t>
            </w:r>
          </w:p>
          <w:p w14:paraId="15D29A6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9、通过电子评标辅助系统计算各投标人得分并汇总，由评标委员会组长提交；</w:t>
            </w:r>
          </w:p>
          <w:p w14:paraId="7FEFF49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10、评标委员会按照评标总得分由高至低排序，推荐3名有排序的中标候选人。</w:t>
            </w:r>
          </w:p>
          <w:p w14:paraId="206AA85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四、宣布评标结果</w:t>
            </w:r>
          </w:p>
          <w:p w14:paraId="137BC71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推荐的中标候选人分别为：</w:t>
            </w:r>
          </w:p>
          <w:p w14:paraId="1405597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第一名：新疆广陆工程建设有限公司</w:t>
            </w:r>
          </w:p>
          <w:p w14:paraId="48527B7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第二名：克拉玛依市独山子区城市建设开发有限责任公司</w:t>
            </w:r>
          </w:p>
          <w:p w14:paraId="62A2950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第三名：新疆广阳工程建设有限公司</w:t>
            </w:r>
          </w:p>
          <w:p w14:paraId="7A6B5F1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评标委员会全体成员在相应表格签字确认评标结果，并对评标结果负责。招标代理机构工作人员宣布开标、评标会议结束。</w:t>
            </w:r>
          </w:p>
        </w:tc>
      </w:tr>
    </w:tbl>
    <w:p w14:paraId="4763D143">
      <w:bookmarkStart w:id="0" w:name="_GoBack"/>
      <w:bookmarkEnd w:id="0"/>
    </w:p>
    <w:sectPr>
      <w:headerReference r:id="rId3" w:type="default"/>
      <w:pgSz w:w="11906" w:h="16838"/>
      <w:pgMar w:top="1134" w:right="1080" w:bottom="85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ActionIcon">
    <w:altName w:val="Segoe Print"/>
    <w:panose1 w:val="00000000000000000000"/>
    <w:charset w:val="00"/>
    <w:family w:val="auto"/>
    <w:pitch w:val="default"/>
    <w:sig w:usb0="00000000" w:usb1="00000000" w:usb2="00000000" w:usb3="00000000" w:csb0="00000000" w:csb1="00000000"/>
  </w:font>
  <w:font w:name="ModIcon">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10022FF" w:usb1="C000E47F" w:usb2="00000029" w:usb3="00000000" w:csb0="200001DF" w:csb1="20000000"/>
  </w:font>
  <w:font w:name="Segoe Print">
    <w:panose1 w:val="02000600000000000000"/>
    <w:charset w:val="00"/>
    <w:family w:val="auto"/>
    <w:pitch w:val="default"/>
    <w:sig w:usb0="0000028F" w:usb1="00000000" w:usb2="00000000" w:usb3="00000000" w:csb0="2000009F" w:csb1="4701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9F081">
    <w:pPr>
      <w:pStyle w:val="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A02174"/>
    <w:rsid w:val="12DA453C"/>
    <w:rsid w:val="47A10830"/>
    <w:rsid w:val="4AB31DBE"/>
    <w:rsid w:val="53F51452"/>
    <w:rsid w:val="7CA021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763</Words>
  <Characters>775</Characters>
  <Lines>0</Lines>
  <Paragraphs>0</Paragraphs>
  <TotalTime>0</TotalTime>
  <ScaleCrop>false</ScaleCrop>
  <LinksUpToDate>false</LinksUpToDate>
  <CharactersWithSpaces>776</CharactersWithSpaces>
  <Application>WPS Office_12.8.2.21177_F1E327BC-269C-435d-A152-05C5408002CA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2026-07-06T11:42:00Z</dcterms:created>
  <dc:creator>妮娜</dc:creator>
  <cp:lastModifiedBy>妮娜</cp:lastModifiedBy>
  <dcterms:modified xsi:type="dcterms:W3CDTF">2026-09-18T11:04:01Z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2052-12.8.2.21177</vt:lpwstr>
  </property>
  <property fmtid="{D5CDD505-2E9C-101B-9397-08002B2CF9AE}" pid="3" name="ICV">
    <vt:lpwstr>EFAB85A62DEE4E8AB6854F2DE30D68EC_11</vt:lpwstr>
  </property>
  <property fmtid="{D5CDD505-2E9C-101B-9397-08002B2CF9AE}" pid="4" name="KSOTemplateDocerSaveRecord">
    <vt:lpwstr>eyJoZGlkIjoiMTIxN2EyNzhkNmJkYzRmNzYxZGRkNmNiMmU4NTdiNDciLCJ1c2VySWQiOiIxNzI3NDc0NTAxIn0=</vt:lpwstr>
  </property>
</Properties>
</file>