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F03979">
      <w:pPr>
        <w:jc w:val="center"/>
        <w:rPr>
          <w:rFonts w:hint="eastAsia" w:ascii="仿宋" w:hAnsi="仿宋" w:eastAsia="仿宋" w:cs="仿宋"/>
          <w:b/>
          <w:sz w:val="40"/>
          <w:szCs w:val="44"/>
        </w:rPr>
      </w:pPr>
      <w:r>
        <w:rPr>
          <w:rFonts w:hint="eastAsia" w:ascii="仿宋" w:hAnsi="仿宋" w:eastAsia="仿宋" w:cs="仿宋"/>
          <w:b/>
          <w:sz w:val="44"/>
          <w:szCs w:val="44"/>
          <w:lang w:val="en-US" w:eastAsia="zh-CN"/>
        </w:rPr>
        <w:t>开标</w:t>
      </w:r>
      <w:r>
        <w:rPr>
          <w:rFonts w:hint="eastAsia" w:ascii="仿宋" w:hAnsi="仿宋" w:eastAsia="仿宋" w:cs="仿宋"/>
          <w:b/>
          <w:sz w:val="44"/>
          <w:szCs w:val="44"/>
        </w:rPr>
        <w:t>评标</w:t>
      </w:r>
      <w:r>
        <w:rPr>
          <w:rFonts w:hint="eastAsia" w:ascii="仿宋" w:hAnsi="仿宋" w:eastAsia="仿宋" w:cs="仿宋"/>
          <w:b/>
          <w:sz w:val="44"/>
          <w:szCs w:val="44"/>
          <w:lang w:val="en-US" w:eastAsia="zh-CN"/>
        </w:rPr>
        <w:t>会现场</w:t>
      </w:r>
      <w:r>
        <w:rPr>
          <w:rFonts w:hint="eastAsia" w:ascii="仿宋" w:hAnsi="仿宋" w:eastAsia="仿宋" w:cs="仿宋"/>
          <w:b/>
          <w:sz w:val="44"/>
          <w:szCs w:val="44"/>
        </w:rPr>
        <w:t>记录</w:t>
      </w:r>
    </w:p>
    <w:p w14:paraId="1486C73A">
      <w:pPr>
        <w:ind w:left="1199" w:leftChars="114" w:hanging="960" w:hangingChars="400"/>
        <w:rPr>
          <w:rFonts w:hint="eastAsia" w:ascii="仿宋" w:hAnsi="仿宋" w:eastAsia="仿宋" w:cs="仿宋"/>
          <w:sz w:val="24"/>
          <w:lang w:eastAsia="zh-CN"/>
        </w:rPr>
      </w:pPr>
      <w:r>
        <w:rPr>
          <w:rFonts w:hint="eastAsia" w:ascii="仿宋" w:hAnsi="仿宋" w:eastAsia="仿宋" w:cs="仿宋"/>
          <w:sz w:val="24"/>
        </w:rPr>
        <w:t xml:space="preserve">项目名称：克拉玛依市白碱滩区城市排水能力提升项目（四期）工程总承包  </w:t>
      </w:r>
    </w:p>
    <w:tbl>
      <w:tblPr>
        <w:tblStyle w:val="9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35"/>
        <w:gridCol w:w="710"/>
        <w:gridCol w:w="2953"/>
        <w:gridCol w:w="1849"/>
        <w:gridCol w:w="2795"/>
      </w:tblGrid>
      <w:tr w14:paraId="138236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2345" w:type="dxa"/>
            <w:gridSpan w:val="2"/>
            <w:noWrap w:val="0"/>
            <w:vAlign w:val="center"/>
          </w:tcPr>
          <w:p w14:paraId="486AE7FC">
            <w:pPr>
              <w:jc w:val="center"/>
              <w:rPr>
                <w:rFonts w:hint="eastAsia" w:ascii="仿宋" w:hAnsi="仿宋" w:eastAsia="仿宋" w:cs="仿宋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highlight w:val="none"/>
              </w:rPr>
              <w:t>招标代理机构</w:t>
            </w:r>
          </w:p>
        </w:tc>
        <w:tc>
          <w:tcPr>
            <w:tcW w:w="7597" w:type="dxa"/>
            <w:gridSpan w:val="3"/>
            <w:noWrap w:val="0"/>
            <w:vAlign w:val="center"/>
          </w:tcPr>
          <w:p w14:paraId="5FB7B5D1">
            <w:pPr>
              <w:rPr>
                <w:rFonts w:hint="eastAsia" w:ascii="仿宋" w:hAnsi="仿宋" w:eastAsia="仿宋" w:cs="仿宋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highlight w:val="none"/>
              </w:rPr>
              <w:t>新疆秦之玺工程咨询有限责任公司</w:t>
            </w:r>
          </w:p>
        </w:tc>
      </w:tr>
      <w:tr w14:paraId="3BF9AA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2345" w:type="dxa"/>
            <w:gridSpan w:val="2"/>
            <w:noWrap w:val="0"/>
            <w:vAlign w:val="center"/>
          </w:tcPr>
          <w:p w14:paraId="5EF06D3C">
            <w:pPr>
              <w:jc w:val="center"/>
              <w:rPr>
                <w:rFonts w:hint="eastAsia" w:ascii="仿宋" w:hAnsi="仿宋" w:eastAsia="仿宋" w:cs="仿宋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highlight w:val="none"/>
              </w:rPr>
              <w:t>开标主持人</w:t>
            </w:r>
          </w:p>
        </w:tc>
        <w:tc>
          <w:tcPr>
            <w:tcW w:w="2953" w:type="dxa"/>
            <w:noWrap w:val="0"/>
            <w:vAlign w:val="center"/>
          </w:tcPr>
          <w:p w14:paraId="7B6A8DDA">
            <w:pPr>
              <w:jc w:val="center"/>
              <w:rPr>
                <w:rFonts w:hint="eastAsia" w:ascii="仿宋" w:hAnsi="仿宋" w:eastAsia="仿宋" w:cs="仿宋"/>
                <w:sz w:val="24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highlight w:val="none"/>
                <w:lang w:eastAsia="zh-CN"/>
              </w:rPr>
              <w:t>易丹</w:t>
            </w:r>
          </w:p>
        </w:tc>
        <w:tc>
          <w:tcPr>
            <w:tcW w:w="1849" w:type="dxa"/>
            <w:noWrap w:val="0"/>
            <w:vAlign w:val="center"/>
          </w:tcPr>
          <w:p w14:paraId="17B99CF9">
            <w:pPr>
              <w:jc w:val="center"/>
              <w:rPr>
                <w:rFonts w:hint="eastAsia" w:ascii="仿宋" w:hAnsi="仿宋" w:eastAsia="仿宋" w:cs="仿宋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highlight w:val="none"/>
              </w:rPr>
              <w:t>现场监督</w:t>
            </w:r>
          </w:p>
        </w:tc>
        <w:tc>
          <w:tcPr>
            <w:tcW w:w="2795" w:type="dxa"/>
            <w:noWrap w:val="0"/>
            <w:vAlign w:val="center"/>
          </w:tcPr>
          <w:p w14:paraId="1E99585C">
            <w:pPr>
              <w:jc w:val="center"/>
              <w:rPr>
                <w:rFonts w:hint="default" w:ascii="仿宋" w:hAnsi="仿宋" w:eastAsia="仿宋" w:cs="仿宋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highlight w:val="none"/>
                <w:lang w:val="en-US" w:eastAsia="zh-CN"/>
              </w:rPr>
              <w:t>阿依加娜提</w:t>
            </w:r>
          </w:p>
        </w:tc>
      </w:tr>
      <w:tr w14:paraId="6CA720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2345" w:type="dxa"/>
            <w:gridSpan w:val="2"/>
            <w:noWrap w:val="0"/>
            <w:vAlign w:val="center"/>
          </w:tcPr>
          <w:p w14:paraId="6654E938">
            <w:pPr>
              <w:jc w:val="center"/>
              <w:rPr>
                <w:rFonts w:hint="eastAsia" w:ascii="仿宋" w:hAnsi="仿宋" w:eastAsia="仿宋" w:cs="仿宋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highlight w:val="none"/>
              </w:rPr>
              <w:t>开标时间</w:t>
            </w:r>
          </w:p>
        </w:tc>
        <w:tc>
          <w:tcPr>
            <w:tcW w:w="2953" w:type="dxa"/>
            <w:noWrap w:val="0"/>
            <w:vAlign w:val="center"/>
          </w:tcPr>
          <w:p w14:paraId="5EF4C230">
            <w:pPr>
              <w:jc w:val="center"/>
              <w:rPr>
                <w:rFonts w:hint="default" w:ascii="仿宋" w:hAnsi="仿宋" w:eastAsia="仿宋" w:cs="仿宋"/>
                <w:sz w:val="24"/>
                <w:highlight w:val="none"/>
                <w:lang w:val="en-US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</w:rPr>
              <w:t>202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val="en-US" w:eastAsia="zh-CN"/>
              </w:rPr>
              <w:t>6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</w:rPr>
              <w:t>年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val="en-US" w:eastAsia="zh-CN"/>
              </w:rPr>
              <w:t>10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</w:rPr>
              <w:t>月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val="en-US" w:eastAsia="zh-CN"/>
              </w:rPr>
              <w:t>16日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</w:rPr>
              <w:t xml:space="preserve"> </w:t>
            </w:r>
            <w:r>
              <w:rPr>
                <w:rFonts w:hint="eastAsia" w:ascii="仿宋" w:hAnsi="仿宋" w:eastAsia="仿宋" w:cs="仿宋"/>
                <w:sz w:val="24"/>
                <w:highlight w:val="none"/>
              </w:rPr>
              <w:t>1</w:t>
            </w:r>
            <w:r>
              <w:rPr>
                <w:rFonts w:hint="eastAsia" w:ascii="仿宋" w:hAnsi="仿宋" w:eastAsia="仿宋" w:cs="仿宋"/>
                <w:sz w:val="24"/>
                <w:highlight w:val="none"/>
                <w:lang w:val="en-US" w:eastAsia="zh-CN"/>
              </w:rPr>
              <w:t>0</w:t>
            </w:r>
            <w:r>
              <w:rPr>
                <w:rFonts w:hint="eastAsia" w:ascii="仿宋" w:hAnsi="仿宋" w:eastAsia="仿宋" w:cs="仿宋"/>
                <w:sz w:val="24"/>
                <w:highlight w:val="none"/>
              </w:rPr>
              <w:t>:</w:t>
            </w:r>
            <w:r>
              <w:rPr>
                <w:rFonts w:hint="eastAsia" w:ascii="仿宋" w:hAnsi="仿宋" w:eastAsia="仿宋" w:cs="仿宋"/>
                <w:sz w:val="24"/>
                <w:highlight w:val="none"/>
                <w:lang w:val="en-US" w:eastAsia="zh-CN"/>
              </w:rPr>
              <w:t>0</w:t>
            </w:r>
            <w:r>
              <w:rPr>
                <w:rFonts w:hint="eastAsia" w:ascii="仿宋" w:hAnsi="仿宋" w:eastAsia="仿宋" w:cs="仿宋"/>
                <w:sz w:val="24"/>
                <w:highlight w:val="none"/>
              </w:rPr>
              <w:t>0</w:t>
            </w:r>
          </w:p>
        </w:tc>
        <w:tc>
          <w:tcPr>
            <w:tcW w:w="1849" w:type="dxa"/>
            <w:noWrap w:val="0"/>
            <w:vAlign w:val="center"/>
          </w:tcPr>
          <w:p w14:paraId="4AC43A50">
            <w:pPr>
              <w:jc w:val="center"/>
              <w:rPr>
                <w:rFonts w:hint="eastAsia" w:ascii="仿宋" w:hAnsi="仿宋" w:eastAsia="仿宋" w:cs="仿宋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highlight w:val="none"/>
              </w:rPr>
              <w:t>开标地点</w:t>
            </w:r>
          </w:p>
        </w:tc>
        <w:tc>
          <w:tcPr>
            <w:tcW w:w="2795" w:type="dxa"/>
            <w:noWrap w:val="0"/>
            <w:vAlign w:val="center"/>
          </w:tcPr>
          <w:p w14:paraId="3BC3ED58">
            <w:pPr>
              <w:jc w:val="center"/>
              <w:rPr>
                <w:rFonts w:hint="eastAsia" w:ascii="仿宋" w:hAnsi="仿宋" w:eastAsia="仿宋" w:cs="仿宋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克拉玛依市政务服务和公共资源交易中心</w:t>
            </w:r>
          </w:p>
        </w:tc>
      </w:tr>
      <w:tr w14:paraId="6051E8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  <w:jc w:val="center"/>
        </w:trPr>
        <w:tc>
          <w:tcPr>
            <w:tcW w:w="9942" w:type="dxa"/>
            <w:gridSpan w:val="5"/>
            <w:noWrap w:val="0"/>
            <w:vAlign w:val="center"/>
          </w:tcPr>
          <w:p w14:paraId="2F930B09">
            <w:pPr>
              <w:rPr>
                <w:rFonts w:hint="eastAsia" w:ascii="仿宋" w:hAnsi="仿宋" w:eastAsia="仿宋" w:cs="仿宋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highlight w:val="none"/>
              </w:rPr>
              <w:t>评标内容：</w:t>
            </w:r>
          </w:p>
        </w:tc>
      </w:tr>
      <w:tr w14:paraId="110554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4" w:hRule="atLeast"/>
          <w:jc w:val="center"/>
        </w:trPr>
        <w:tc>
          <w:tcPr>
            <w:tcW w:w="9942" w:type="dxa"/>
            <w:gridSpan w:val="5"/>
            <w:noWrap w:val="0"/>
            <w:vAlign w:val="top"/>
          </w:tcPr>
          <w:p w14:paraId="495BD7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" w:hAnsi="仿宋" w:eastAsia="仿宋" w:cs="仿宋"/>
                <w:b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sz w:val="24"/>
                <w:highlight w:val="none"/>
              </w:rPr>
              <w:t>一、</w:t>
            </w:r>
            <w:r>
              <w:rPr>
                <w:rFonts w:hint="eastAsia" w:ascii="仿宋" w:hAnsi="仿宋" w:eastAsia="仿宋" w:cs="仿宋"/>
                <w:b/>
                <w:sz w:val="24"/>
                <w:highlight w:val="none"/>
                <w:lang w:eastAsia="zh-CN"/>
              </w:rPr>
              <w:t>不见面</w:t>
            </w:r>
            <w:r>
              <w:rPr>
                <w:rFonts w:hint="eastAsia" w:ascii="仿宋" w:hAnsi="仿宋" w:eastAsia="仿宋" w:cs="仿宋"/>
                <w:b/>
                <w:sz w:val="24"/>
                <w:highlight w:val="none"/>
              </w:rPr>
              <w:t>开标（</w:t>
            </w:r>
            <w:r>
              <w:rPr>
                <w:rFonts w:hint="eastAsia" w:ascii="仿宋" w:hAnsi="仿宋" w:eastAsia="仿宋" w:cs="仿宋"/>
                <w:b/>
                <w:sz w:val="24"/>
                <w:highlight w:val="none"/>
                <w:lang w:val="en-US" w:eastAsia="zh-CN"/>
              </w:rPr>
              <w:t>10</w:t>
            </w:r>
            <w:r>
              <w:rPr>
                <w:rFonts w:hint="eastAsia" w:ascii="仿宋" w:hAnsi="仿宋" w:eastAsia="仿宋" w:cs="仿宋"/>
                <w:b/>
                <w:sz w:val="24"/>
                <w:highlight w:val="none"/>
              </w:rPr>
              <w:t>:</w:t>
            </w:r>
            <w:r>
              <w:rPr>
                <w:rFonts w:hint="eastAsia" w:ascii="仿宋" w:hAnsi="仿宋" w:eastAsia="仿宋" w:cs="仿宋"/>
                <w:b/>
                <w:sz w:val="24"/>
                <w:highlight w:val="none"/>
                <w:lang w:val="en-US" w:eastAsia="zh-CN"/>
              </w:rPr>
              <w:t>0</w:t>
            </w:r>
            <w:r>
              <w:rPr>
                <w:rFonts w:hint="eastAsia" w:ascii="仿宋" w:hAnsi="仿宋" w:eastAsia="仿宋" w:cs="仿宋"/>
                <w:b/>
                <w:sz w:val="24"/>
                <w:highlight w:val="none"/>
              </w:rPr>
              <w:t>0）</w:t>
            </w:r>
          </w:p>
          <w:p w14:paraId="54C756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" w:hAnsi="仿宋" w:eastAsia="仿宋" w:cs="仿宋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highlight w:val="none"/>
                <w:lang w:val="en-US" w:eastAsia="zh-CN"/>
              </w:rPr>
              <w:t>1、克拉玛依市政务服务和公共资源交易中心开标一室，本项目潜在投标人共计15家，在投标截止时间前5家投标单位（皓泰工程建设集团有限公司、新疆广阳工程建设有限公司、新疆聚祥建筑工程有限公司、新疆西部明珠工程建设有限公司、永升建设集团有限公司）递交了投标文件，</w:t>
            </w:r>
            <w:r>
              <w:rPr>
                <w:rFonts w:hint="eastAsia" w:ascii="仿宋" w:hAnsi="仿宋" w:eastAsia="仿宋" w:cs="仿宋"/>
                <w:sz w:val="24"/>
                <w:highlight w:val="none"/>
              </w:rPr>
              <w:t>工作人员在克拉玛依市公共资源交易网“不见面”交易大厅触发“开始解密”功能后</w:t>
            </w:r>
            <w:r>
              <w:rPr>
                <w:rFonts w:hint="eastAsia" w:ascii="仿宋" w:hAnsi="仿宋" w:eastAsia="仿宋" w:cs="仿宋"/>
                <w:sz w:val="24"/>
                <w:highlight w:val="none"/>
                <w:lang w:eastAsia="zh-CN"/>
              </w:rPr>
              <w:t>，</w:t>
            </w:r>
            <w:r>
              <w:rPr>
                <w:rFonts w:hint="eastAsia" w:ascii="仿宋" w:hAnsi="仿宋" w:eastAsia="仿宋" w:cs="仿宋"/>
                <w:sz w:val="24"/>
                <w:highlight w:val="none"/>
              </w:rPr>
              <w:t>最终</w:t>
            </w:r>
            <w:r>
              <w:rPr>
                <w:rFonts w:hint="eastAsia" w:ascii="仿宋" w:hAnsi="仿宋" w:eastAsia="仿宋" w:cs="仿宋"/>
                <w:sz w:val="24"/>
                <w:highlight w:val="none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sz w:val="24"/>
                <w:highlight w:val="none"/>
              </w:rPr>
              <w:t>位投标人的投标文件均解密成功</w:t>
            </w:r>
            <w:r>
              <w:rPr>
                <w:rFonts w:hint="eastAsia" w:ascii="仿宋" w:hAnsi="仿宋" w:eastAsia="仿宋" w:cs="仿宋"/>
                <w:sz w:val="24"/>
                <w:highlight w:val="none"/>
                <w:lang w:eastAsia="zh-CN"/>
              </w:rPr>
              <w:t>，</w:t>
            </w:r>
            <w:r>
              <w:rPr>
                <w:rFonts w:hint="eastAsia" w:ascii="仿宋" w:hAnsi="仿宋" w:eastAsia="仿宋" w:cs="仿宋"/>
                <w:sz w:val="24"/>
                <w:highlight w:val="none"/>
                <w:lang w:val="en-US" w:eastAsia="zh-CN"/>
              </w:rPr>
              <w:t>进入唱标阶段；</w:t>
            </w:r>
          </w:p>
          <w:p w14:paraId="61FBB0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" w:hAnsi="仿宋" w:eastAsia="仿宋" w:cs="仿宋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highlight w:val="none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sz w:val="24"/>
                <w:highlight w:val="none"/>
              </w:rPr>
              <w:t>、</w:t>
            </w:r>
            <w:r>
              <w:rPr>
                <w:rFonts w:hint="eastAsia" w:ascii="仿宋" w:hAnsi="仿宋" w:eastAsia="仿宋" w:cs="仿宋"/>
                <w:sz w:val="24"/>
                <w:highlight w:val="none"/>
                <w:lang w:val="en-US" w:eastAsia="zh-CN"/>
              </w:rPr>
              <w:t>招标代理工作人员</w:t>
            </w:r>
            <w:r>
              <w:rPr>
                <w:rFonts w:hint="eastAsia" w:ascii="仿宋" w:hAnsi="仿宋" w:eastAsia="仿宋" w:cs="仿宋"/>
                <w:sz w:val="24"/>
                <w:highlight w:val="none"/>
              </w:rPr>
              <w:t>进行唱标，唱标完毕后，各投标单位对唱标内容均无异议；</w:t>
            </w:r>
          </w:p>
          <w:p w14:paraId="3F0655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" w:hAnsi="仿宋" w:eastAsia="仿宋" w:cs="仿宋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highlight w:val="none"/>
                <w:lang w:val="en-US" w:eastAsia="zh-CN"/>
              </w:rPr>
              <w:t>3、</w:t>
            </w:r>
            <w:r>
              <w:rPr>
                <w:rFonts w:hint="eastAsia" w:ascii="仿宋" w:hAnsi="仿宋" w:eastAsia="仿宋" w:cs="仿宋"/>
                <w:sz w:val="24"/>
                <w:highlight w:val="none"/>
              </w:rPr>
              <w:t>由</w:t>
            </w:r>
            <w:r>
              <w:rPr>
                <w:rFonts w:hint="eastAsia" w:ascii="仿宋" w:hAnsi="仿宋" w:eastAsia="仿宋" w:cs="仿宋"/>
                <w:sz w:val="24"/>
                <w:highlight w:val="none"/>
                <w:lang w:eastAsia="zh-CN"/>
              </w:rPr>
              <w:t>招标人代表</w:t>
            </w:r>
            <w:r>
              <w:rPr>
                <w:rFonts w:hint="eastAsia" w:ascii="仿宋" w:hAnsi="仿宋" w:eastAsia="仿宋" w:cs="仿宋"/>
                <w:sz w:val="24"/>
                <w:highlight w:val="none"/>
                <w:lang w:val="en-US" w:eastAsia="zh-CN"/>
              </w:rPr>
              <w:t>根据招标文件规定的</w:t>
            </w:r>
            <w:r>
              <w:rPr>
                <w:rFonts w:hint="eastAsia" w:ascii="仿宋" w:hAnsi="仿宋" w:eastAsia="仿宋" w:cs="仿宋"/>
                <w:sz w:val="24"/>
                <w:highlight w:val="none"/>
              </w:rPr>
              <w:t>α</w:t>
            </w:r>
            <w:r>
              <w:rPr>
                <w:rFonts w:hint="eastAsia" w:ascii="仿宋" w:hAnsi="仿宋" w:eastAsia="仿宋" w:cs="仿宋"/>
                <w:sz w:val="24"/>
                <w:highlight w:val="none"/>
                <w:lang w:val="en-US" w:eastAsia="zh-CN"/>
              </w:rPr>
              <w:t>和</w:t>
            </w:r>
            <w:r>
              <w:rPr>
                <w:rFonts w:hint="eastAsia" w:ascii="仿宋" w:hAnsi="仿宋" w:eastAsia="仿宋" w:cs="仿宋"/>
                <w:sz w:val="24"/>
                <w:highlight w:val="none"/>
              </w:rPr>
              <w:t>β</w:t>
            </w:r>
            <w:r>
              <w:rPr>
                <w:rFonts w:hint="eastAsia" w:ascii="仿宋" w:hAnsi="仿宋" w:eastAsia="仿宋" w:cs="仿宋"/>
                <w:sz w:val="24"/>
                <w:highlight w:val="none"/>
                <w:lang w:val="en-US" w:eastAsia="zh-CN"/>
              </w:rPr>
              <w:t>基准价</w:t>
            </w:r>
            <w:r>
              <w:rPr>
                <w:rFonts w:hint="eastAsia" w:ascii="仿宋" w:hAnsi="仿宋" w:eastAsia="仿宋" w:cs="仿宋"/>
                <w:sz w:val="24"/>
                <w:highlight w:val="none"/>
              </w:rPr>
              <w:t>取值范围</w:t>
            </w:r>
            <w:r>
              <w:rPr>
                <w:rFonts w:hint="eastAsia" w:ascii="仿宋" w:hAnsi="仿宋" w:eastAsia="仿宋" w:cs="仿宋"/>
                <w:sz w:val="24"/>
                <w:highlight w:val="none"/>
                <w:lang w:eastAsia="zh-CN"/>
              </w:rPr>
              <w:t>，在“不见面开标大厅”系统中</w:t>
            </w:r>
            <w:r>
              <w:rPr>
                <w:rFonts w:hint="eastAsia" w:ascii="仿宋" w:hAnsi="仿宋" w:eastAsia="仿宋" w:cs="仿宋"/>
                <w:sz w:val="24"/>
                <w:highlight w:val="none"/>
              </w:rPr>
              <w:t>随机抽取α</w:t>
            </w:r>
            <w:r>
              <w:rPr>
                <w:rFonts w:hint="eastAsia" w:ascii="仿宋" w:hAnsi="仿宋" w:eastAsia="仿宋" w:cs="仿宋"/>
                <w:sz w:val="24"/>
                <w:highlight w:val="none"/>
                <w:lang w:val="en-US" w:eastAsia="zh-CN"/>
              </w:rPr>
              <w:t>和</w:t>
            </w:r>
            <w:r>
              <w:rPr>
                <w:rFonts w:hint="eastAsia" w:ascii="仿宋" w:hAnsi="仿宋" w:eastAsia="仿宋" w:cs="仿宋"/>
                <w:sz w:val="24"/>
                <w:highlight w:val="none"/>
              </w:rPr>
              <w:t>β</w:t>
            </w:r>
            <w:r>
              <w:rPr>
                <w:rFonts w:hint="eastAsia" w:ascii="仿宋" w:hAnsi="仿宋" w:eastAsia="仿宋" w:cs="仿宋"/>
                <w:sz w:val="24"/>
                <w:highlight w:val="none"/>
                <w:lang w:val="en-US" w:eastAsia="zh-CN"/>
              </w:rPr>
              <w:t>数值，</w:t>
            </w:r>
            <w:r>
              <w:rPr>
                <w:rFonts w:hint="eastAsia" w:ascii="仿宋" w:hAnsi="仿宋" w:eastAsia="仿宋" w:cs="仿宋"/>
                <w:sz w:val="24"/>
                <w:highlight w:val="none"/>
                <w:lang w:eastAsia="zh-CN"/>
              </w:rPr>
              <w:t>招标人代表</w:t>
            </w:r>
            <w:r>
              <w:rPr>
                <w:rFonts w:hint="eastAsia" w:ascii="仿宋" w:hAnsi="仿宋" w:eastAsia="仿宋" w:cs="仿宋"/>
                <w:sz w:val="24"/>
                <w:highlight w:val="none"/>
                <w:lang w:val="en-US" w:eastAsia="zh-CN"/>
              </w:rPr>
              <w:t>抽取</w:t>
            </w:r>
            <w:r>
              <w:rPr>
                <w:rFonts w:hint="eastAsia" w:ascii="仿宋" w:hAnsi="仿宋" w:eastAsia="仿宋" w:cs="仿宋"/>
                <w:sz w:val="24"/>
                <w:highlight w:val="none"/>
              </w:rPr>
              <w:t>α</w:t>
            </w:r>
            <w:r>
              <w:rPr>
                <w:rFonts w:hint="eastAsia" w:ascii="仿宋" w:hAnsi="仿宋" w:eastAsia="仿宋" w:cs="仿宋"/>
                <w:sz w:val="24"/>
                <w:highlight w:val="none"/>
                <w:lang w:val="en-US" w:eastAsia="zh-CN"/>
              </w:rPr>
              <w:t>数值为</w:t>
            </w:r>
            <w:r>
              <w:rPr>
                <w:rFonts w:hint="eastAsia" w:ascii="仿宋" w:hAnsi="仿宋" w:eastAsia="仿宋" w:cs="仿宋"/>
                <w:sz w:val="24"/>
                <w:highlight w:val="none"/>
                <w:u w:val="single"/>
                <w:lang w:val="en-US" w:eastAsia="zh-CN"/>
              </w:rPr>
              <w:t xml:space="preserve"> 3% </w:t>
            </w:r>
            <w:r>
              <w:rPr>
                <w:rFonts w:hint="eastAsia" w:ascii="仿宋" w:hAnsi="仿宋" w:eastAsia="仿宋" w:cs="仿宋"/>
                <w:sz w:val="24"/>
                <w:highlight w:val="none"/>
                <w:lang w:val="en-US" w:eastAsia="zh-CN"/>
              </w:rPr>
              <w:t>，</w:t>
            </w:r>
            <w:r>
              <w:rPr>
                <w:rFonts w:hint="eastAsia" w:ascii="仿宋" w:hAnsi="仿宋" w:eastAsia="仿宋" w:cs="仿宋"/>
                <w:sz w:val="24"/>
                <w:highlight w:val="none"/>
              </w:rPr>
              <w:t>β</w:t>
            </w:r>
            <w:r>
              <w:rPr>
                <w:rFonts w:hint="eastAsia" w:ascii="仿宋" w:hAnsi="仿宋" w:eastAsia="仿宋" w:cs="仿宋"/>
                <w:sz w:val="24"/>
                <w:highlight w:val="none"/>
                <w:lang w:val="en-US" w:eastAsia="zh-CN"/>
              </w:rPr>
              <w:t>数值</w:t>
            </w:r>
            <w:r>
              <w:rPr>
                <w:rFonts w:hint="eastAsia" w:ascii="仿宋" w:hAnsi="仿宋" w:eastAsia="仿宋" w:cs="仿宋"/>
                <w:sz w:val="24"/>
                <w:highlight w:val="none"/>
              </w:rPr>
              <w:t>为</w:t>
            </w:r>
            <w:r>
              <w:rPr>
                <w:rFonts w:hint="eastAsia" w:ascii="仿宋" w:hAnsi="仿宋" w:eastAsia="仿宋" w:cs="仿宋"/>
                <w:sz w:val="24"/>
                <w:highlight w:val="none"/>
                <w:u w:val="single"/>
                <w:lang w:val="en-US" w:eastAsia="zh-CN"/>
              </w:rPr>
              <w:t xml:space="preserve"> 6%</w:t>
            </w:r>
            <w:r>
              <w:rPr>
                <w:rFonts w:hint="eastAsia" w:ascii="仿宋" w:hAnsi="仿宋" w:eastAsia="仿宋" w:cs="仿宋"/>
                <w:sz w:val="24"/>
                <w:highlight w:val="none"/>
                <w:lang w:val="en-US" w:eastAsia="zh-CN"/>
              </w:rPr>
              <w:t>。</w:t>
            </w:r>
          </w:p>
          <w:p w14:paraId="2F0888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" w:hAnsi="仿宋" w:eastAsia="仿宋" w:cs="仿宋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highlight w:val="none"/>
                <w:lang w:val="en-US" w:eastAsia="zh-CN"/>
              </w:rPr>
              <w:t>4、</w:t>
            </w:r>
            <w:r>
              <w:rPr>
                <w:rFonts w:hint="eastAsia" w:ascii="仿宋" w:hAnsi="仿宋" w:eastAsia="仿宋" w:cs="仿宋"/>
                <w:sz w:val="24"/>
                <w:highlight w:val="none"/>
              </w:rPr>
              <w:t>开标结束。</w:t>
            </w:r>
          </w:p>
          <w:p w14:paraId="085B86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仿宋" w:hAnsi="仿宋" w:eastAsia="仿宋"/>
                <w:b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/>
                <w:b/>
                <w:color w:val="auto"/>
                <w:sz w:val="24"/>
                <w:highlight w:val="none"/>
              </w:rPr>
              <w:t>二、</w:t>
            </w:r>
            <w:r>
              <w:rPr>
                <w:rFonts w:hint="eastAsia" w:ascii="仿宋" w:hAnsi="仿宋" w:eastAsia="仿宋"/>
                <w:b/>
                <w:color w:val="auto"/>
                <w:sz w:val="24"/>
                <w:highlight w:val="none"/>
                <w:lang w:val="en-US" w:eastAsia="zh-CN"/>
              </w:rPr>
              <w:t>电子评标</w:t>
            </w:r>
          </w:p>
          <w:p w14:paraId="2CE7C0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" w:hAnsi="仿宋" w:eastAsia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highlight w:val="none"/>
              </w:rPr>
              <w:t>1、</w:t>
            </w:r>
            <w:r>
              <w:rPr>
                <w:rFonts w:hint="eastAsia" w:ascii="仿宋" w:hAnsi="仿宋" w:eastAsia="仿宋" w:cs="仿宋"/>
                <w:sz w:val="24"/>
                <w:highlight w:val="none"/>
              </w:rPr>
              <w:t>各位评委签到；</w:t>
            </w:r>
          </w:p>
          <w:p w14:paraId="1596A0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仿宋" w:hAnsi="仿宋" w:eastAsia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highlight w:val="none"/>
                <w:lang w:val="en-US" w:eastAsia="zh-CN"/>
              </w:rPr>
              <w:t>2、</w:t>
            </w:r>
            <w:r>
              <w:rPr>
                <w:rFonts w:hint="eastAsia" w:ascii="仿宋" w:hAnsi="仿宋" w:eastAsia="仿宋" w:cs="仿宋"/>
                <w:sz w:val="24"/>
                <w:highlight w:val="none"/>
              </w:rPr>
              <w:t>主持人向各位评委介绍本项目基本概况、招标范围、评标方法等内容，并向评委征询有无疑问，无评委有疑问。</w:t>
            </w:r>
          </w:p>
          <w:p w14:paraId="1604E4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仿宋" w:hAnsi="仿宋" w:eastAsia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highlight w:val="none"/>
                <w:lang w:val="en-US" w:eastAsia="zh-CN"/>
              </w:rPr>
              <w:t>3</w:t>
            </w:r>
            <w:r>
              <w:rPr>
                <w:rFonts w:hint="eastAsia" w:ascii="仿宋" w:hAnsi="仿宋" w:eastAsia="仿宋"/>
                <w:color w:val="auto"/>
                <w:sz w:val="24"/>
                <w:highlight w:val="none"/>
              </w:rPr>
              <w:t>、</w:t>
            </w:r>
            <w:r>
              <w:rPr>
                <w:rFonts w:hint="eastAsia" w:ascii="仿宋" w:hAnsi="仿宋" w:eastAsia="仿宋" w:cs="仿宋"/>
                <w:sz w:val="24"/>
                <w:highlight w:val="none"/>
              </w:rPr>
              <w:t>介绍本次评标委员会的组成：本次评标委员会由</w:t>
            </w:r>
            <w:r>
              <w:rPr>
                <w:rFonts w:hint="eastAsia" w:ascii="仿宋" w:hAnsi="仿宋" w:eastAsia="仿宋" w:cs="仿宋"/>
                <w:sz w:val="24"/>
                <w:highlight w:val="none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b/>
                <w:sz w:val="24"/>
                <w:highlight w:val="none"/>
                <w:u w:val="single"/>
              </w:rPr>
              <w:t>7</w:t>
            </w:r>
            <w:r>
              <w:rPr>
                <w:rFonts w:hint="eastAsia" w:ascii="仿宋" w:hAnsi="仿宋" w:eastAsia="仿宋" w:cs="仿宋"/>
                <w:b/>
                <w:sz w:val="24"/>
                <w:highlight w:val="none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4"/>
                <w:highlight w:val="none"/>
              </w:rPr>
              <w:t>人组成，其中招标</w:t>
            </w:r>
            <w:r>
              <w:rPr>
                <w:rFonts w:hint="eastAsia" w:ascii="仿宋" w:hAnsi="仿宋" w:eastAsia="仿宋" w:cs="仿宋"/>
                <w:sz w:val="24"/>
                <w:highlight w:val="none"/>
                <w:lang w:eastAsia="zh-CN"/>
              </w:rPr>
              <w:t>人</w:t>
            </w:r>
            <w:r>
              <w:rPr>
                <w:rFonts w:hint="eastAsia" w:ascii="仿宋" w:hAnsi="仿宋" w:eastAsia="仿宋" w:cs="仿宋"/>
                <w:sz w:val="24"/>
                <w:highlight w:val="none"/>
              </w:rPr>
              <w:t>代表</w:t>
            </w:r>
            <w:r>
              <w:rPr>
                <w:rFonts w:hint="eastAsia" w:ascii="仿宋" w:hAnsi="仿宋" w:eastAsia="仿宋" w:cs="仿宋"/>
                <w:sz w:val="24"/>
                <w:highlight w:val="none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b/>
                <w:sz w:val="24"/>
                <w:highlight w:val="none"/>
                <w:u w:val="single"/>
                <w:lang w:val="en-US" w:eastAsia="zh-CN"/>
              </w:rPr>
              <w:t xml:space="preserve">2 </w:t>
            </w:r>
            <w:r>
              <w:rPr>
                <w:rFonts w:hint="eastAsia" w:ascii="仿宋" w:hAnsi="仿宋" w:eastAsia="仿宋" w:cs="仿宋"/>
                <w:sz w:val="24"/>
                <w:highlight w:val="none"/>
              </w:rPr>
              <w:t>人，其余经济技术类专家</w:t>
            </w:r>
            <w:r>
              <w:rPr>
                <w:rFonts w:hint="eastAsia" w:ascii="仿宋" w:hAnsi="仿宋" w:eastAsia="仿宋" w:cs="仿宋"/>
                <w:b/>
                <w:sz w:val="24"/>
                <w:highlight w:val="none"/>
                <w:u w:val="single"/>
              </w:rPr>
              <w:t>5</w:t>
            </w:r>
            <w:r>
              <w:rPr>
                <w:rFonts w:hint="eastAsia" w:ascii="仿宋" w:hAnsi="仿宋" w:eastAsia="仿宋" w:cs="仿宋"/>
                <w:sz w:val="24"/>
                <w:highlight w:val="none"/>
              </w:rPr>
              <w:t>人，在建设工程交易中心专家库中随机抽取。现场监督为</w:t>
            </w:r>
            <w:r>
              <w:rPr>
                <w:rFonts w:hint="eastAsia" w:ascii="仿宋_GB2312" w:eastAsia="仿宋_GB2312"/>
                <w:sz w:val="24"/>
                <w:highlight w:val="none"/>
              </w:rPr>
              <w:t>白碱滩区住房和建设局招标投标管理办公室</w:t>
            </w:r>
            <w:r>
              <w:rPr>
                <w:rFonts w:hint="eastAsia" w:ascii="仿宋" w:hAnsi="仿宋" w:eastAsia="仿宋" w:cs="仿宋"/>
                <w:sz w:val="24"/>
                <w:highlight w:val="none"/>
              </w:rPr>
              <w:t>的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highlight w:val="none"/>
                <w:u w:val="single"/>
              </w:rPr>
              <w:t>阿依加娜提</w:t>
            </w:r>
            <w:r>
              <w:rPr>
                <w:rFonts w:hint="eastAsia" w:ascii="仿宋" w:hAnsi="仿宋" w:eastAsia="仿宋" w:cs="仿宋"/>
                <w:sz w:val="24"/>
                <w:highlight w:val="none"/>
              </w:rPr>
              <w:t>。</w:t>
            </w:r>
            <w:bookmarkStart w:id="0" w:name="_GoBack"/>
            <w:bookmarkEnd w:id="0"/>
          </w:p>
          <w:p w14:paraId="534D41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" w:hAnsi="仿宋" w:eastAsia="仿宋" w:cs="仿宋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highlight w:val="none"/>
                <w:lang w:val="en-US" w:eastAsia="zh-CN"/>
              </w:rPr>
              <w:t>4</w:t>
            </w:r>
            <w:r>
              <w:rPr>
                <w:rFonts w:hint="eastAsia" w:ascii="仿宋" w:hAnsi="仿宋" w:eastAsia="仿宋" w:cs="仿宋"/>
                <w:sz w:val="24"/>
                <w:highlight w:val="none"/>
              </w:rPr>
              <w:t>、主持人向各位评委介绍电子评标系统基本流程及会场秩序</w:t>
            </w:r>
            <w:r>
              <w:rPr>
                <w:rFonts w:hint="eastAsia" w:ascii="仿宋" w:hAnsi="仿宋" w:eastAsia="仿宋" w:cs="仿宋"/>
                <w:sz w:val="24"/>
                <w:highlight w:val="none"/>
                <w:lang w:eastAsia="zh-CN"/>
              </w:rPr>
              <w:t>，</w:t>
            </w:r>
            <w:r>
              <w:rPr>
                <w:rFonts w:hint="eastAsia" w:ascii="仿宋" w:hAnsi="仿宋" w:eastAsia="仿宋" w:cs="仿宋"/>
                <w:sz w:val="24"/>
                <w:highlight w:val="none"/>
              </w:rPr>
              <w:t>本次</w:t>
            </w:r>
            <w:r>
              <w:rPr>
                <w:rFonts w:hint="eastAsia" w:ascii="仿宋" w:hAnsi="仿宋" w:eastAsia="仿宋" w:cs="仿宋"/>
                <w:sz w:val="24"/>
                <w:highlight w:val="none"/>
                <w:lang w:val="en-US" w:eastAsia="zh-CN"/>
              </w:rPr>
              <w:t>评</w:t>
            </w:r>
            <w:r>
              <w:rPr>
                <w:rFonts w:hint="eastAsia" w:ascii="仿宋" w:hAnsi="仿宋" w:eastAsia="仿宋" w:cs="仿宋"/>
                <w:sz w:val="24"/>
                <w:highlight w:val="none"/>
              </w:rPr>
              <w:t>标共分为</w:t>
            </w:r>
            <w:r>
              <w:rPr>
                <w:rFonts w:hint="eastAsia" w:ascii="仿宋" w:hAnsi="仿宋" w:eastAsia="仿宋" w:cs="仿宋"/>
                <w:sz w:val="24"/>
                <w:highlight w:val="none"/>
                <w:lang w:val="en-US" w:eastAsia="zh-CN"/>
              </w:rPr>
              <w:t>二</w:t>
            </w:r>
            <w:r>
              <w:rPr>
                <w:rFonts w:hint="eastAsia" w:ascii="仿宋" w:hAnsi="仿宋" w:eastAsia="仿宋" w:cs="仿宋"/>
                <w:sz w:val="24"/>
                <w:highlight w:val="none"/>
              </w:rPr>
              <w:t>个阶段，第一阶段初步评审，第二阶段详细评审,通过第一阶段初步评审的</w:t>
            </w:r>
            <w:r>
              <w:rPr>
                <w:rFonts w:hint="eastAsia" w:ascii="仿宋" w:hAnsi="仿宋" w:eastAsia="仿宋" w:cs="仿宋"/>
                <w:sz w:val="24"/>
                <w:highlight w:val="none"/>
                <w:lang w:val="en-US" w:eastAsia="zh-CN"/>
              </w:rPr>
              <w:t>投标</w:t>
            </w:r>
            <w:r>
              <w:rPr>
                <w:rFonts w:hint="eastAsia" w:ascii="仿宋" w:hAnsi="仿宋" w:eastAsia="仿宋" w:cs="仿宋"/>
                <w:sz w:val="24"/>
                <w:highlight w:val="none"/>
              </w:rPr>
              <w:t>单位进入第二阶段详细评审，根据详细评审结果，评标委员会推荐五家入围投标人，进行技术标定性评审。</w:t>
            </w:r>
          </w:p>
          <w:p w14:paraId="7F8A2BB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" w:hAnsi="仿宋" w:eastAsia="仿宋" w:cs="仿宋"/>
                <w:sz w:val="24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highlight w:val="none"/>
                <w:lang w:val="en-US" w:eastAsia="zh-CN"/>
              </w:rPr>
              <w:t>5、</w:t>
            </w:r>
            <w:r>
              <w:rPr>
                <w:rFonts w:hint="eastAsia" w:ascii="仿宋" w:hAnsi="仿宋" w:eastAsia="仿宋" w:cs="仿宋"/>
                <w:sz w:val="24"/>
                <w:highlight w:val="none"/>
              </w:rPr>
              <w:t>评标开始，</w:t>
            </w:r>
            <w:r>
              <w:rPr>
                <w:rFonts w:hint="eastAsia" w:ascii="仿宋" w:hAnsi="仿宋" w:eastAsia="仿宋" w:cs="仿宋"/>
                <w:sz w:val="24"/>
                <w:highlight w:val="none"/>
                <w:lang w:val="en-US" w:eastAsia="zh-CN"/>
              </w:rPr>
              <w:t>进行</w:t>
            </w:r>
            <w:r>
              <w:rPr>
                <w:rFonts w:hint="eastAsia" w:ascii="仿宋" w:hAnsi="仿宋" w:eastAsia="仿宋" w:cs="仿宋"/>
                <w:sz w:val="24"/>
                <w:highlight w:val="none"/>
              </w:rPr>
              <w:t>初步评审，</w:t>
            </w:r>
            <w:r>
              <w:rPr>
                <w:rFonts w:hint="eastAsia" w:ascii="仿宋" w:hAnsi="仿宋" w:eastAsia="仿宋" w:cs="仿宋"/>
                <w:sz w:val="24"/>
                <w:highlight w:val="none"/>
                <w:lang w:eastAsia="zh-CN"/>
              </w:rPr>
              <w:t>经评委评审，新疆西部明珠工程建设有限公司</w:t>
            </w:r>
            <w:r>
              <w:rPr>
                <w:rFonts w:hint="eastAsia" w:ascii="仿宋" w:hAnsi="仿宋" w:eastAsia="仿宋" w:cs="仿宋"/>
                <w:sz w:val="24"/>
                <w:highlight w:val="none"/>
                <w:lang w:val="en-US" w:eastAsia="zh-CN"/>
              </w:rPr>
              <w:t>价格清单第三页与第六页总投标报价不一致，根据招标文件“形式评审标准  报价唯一要求只能有一个有效报价”，该单位初步评审不通过。其余投标单位初步评审均通过。符合招标文件要求，</w:t>
            </w:r>
            <w:r>
              <w:rPr>
                <w:rFonts w:hint="eastAsia" w:ascii="仿宋" w:hAnsi="仿宋" w:eastAsia="仿宋" w:cs="仿宋"/>
                <w:sz w:val="24"/>
                <w:highlight w:val="none"/>
                <w:lang w:eastAsia="zh-CN"/>
              </w:rPr>
              <w:t>进入下一</w:t>
            </w:r>
            <w:r>
              <w:rPr>
                <w:rFonts w:hint="eastAsia" w:ascii="仿宋" w:hAnsi="仿宋" w:eastAsia="仿宋" w:cs="仿宋"/>
                <w:sz w:val="24"/>
                <w:highlight w:val="none"/>
                <w:lang w:val="en-US" w:eastAsia="zh-CN"/>
              </w:rPr>
              <w:t>阶段详细</w:t>
            </w:r>
            <w:r>
              <w:rPr>
                <w:rFonts w:hint="eastAsia" w:ascii="仿宋" w:hAnsi="仿宋" w:eastAsia="仿宋" w:cs="仿宋"/>
                <w:sz w:val="24"/>
                <w:highlight w:val="none"/>
                <w:lang w:eastAsia="zh-CN"/>
              </w:rPr>
              <w:t>评审。</w:t>
            </w:r>
          </w:p>
          <w:p w14:paraId="6968D85C">
            <w:pPr>
              <w:rPr>
                <w:rFonts w:hint="eastAsia" w:ascii="仿宋" w:hAnsi="仿宋" w:eastAsia="仿宋" w:cs="仿宋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highlight w:val="none"/>
                <w:lang w:val="en-US" w:eastAsia="zh-CN"/>
              </w:rPr>
              <w:t>6、</w:t>
            </w:r>
            <w:r>
              <w:rPr>
                <w:rFonts w:hint="eastAsia" w:ascii="仿宋" w:hAnsi="仿宋" w:eastAsia="仿宋" w:cs="仿宋"/>
                <w:sz w:val="24"/>
                <w:highlight w:val="none"/>
                <w:lang w:eastAsia="zh-CN"/>
              </w:rPr>
              <w:t>在商务标评审过程中，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新疆广阳工程建设有限公司、新疆聚祥建筑工程有限公司</w:t>
            </w:r>
            <w:r>
              <w:rPr>
                <w:rFonts w:hint="eastAsia" w:ascii="仿宋" w:hAnsi="仿宋" w:eastAsia="仿宋" w:cs="仿宋"/>
                <w:sz w:val="24"/>
                <w:highlight w:val="none"/>
                <w:lang w:eastAsia="zh-CN"/>
              </w:rPr>
              <w:t>机构人员配置合理，有完整、合理的施工现场项目管理人员现场管理规程、制度、考核、奖罚办法及保证措施，工程总承包施工成本控制措施及风险分析方案完善、明确，设备、材料采购成本控制措施及计划合理；</w:t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highlight w:val="none"/>
                <w:lang w:val="en-US" w:eastAsia="zh-CN"/>
              </w:rPr>
              <w:t>其余投标单位</w:t>
            </w:r>
            <w:r>
              <w:rPr>
                <w:rFonts w:hint="eastAsia" w:ascii="仿宋" w:hAnsi="仿宋" w:eastAsia="仿宋" w:cs="仿宋"/>
                <w:sz w:val="24"/>
                <w:highlight w:val="none"/>
                <w:lang w:eastAsia="zh-CN"/>
              </w:rPr>
              <w:t>项目管理机构人员配置较为合理，有比较完整、合理的施工现场项目管理人员现场管理规程、制度、考核、奖罚办法及保证措施，工程总承包施工成本控制措施及风险分析方案基本完善、明确，设备、材料采购成本控制措施及计划基本合理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。</w:t>
            </w:r>
          </w:p>
          <w:p w14:paraId="509B7E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" w:hAnsi="仿宋" w:eastAsia="仿宋" w:cs="仿宋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highlight w:val="none"/>
                <w:lang w:val="en-US" w:eastAsia="zh-CN"/>
              </w:rPr>
              <w:t>7、</w:t>
            </w:r>
            <w:r>
              <w:rPr>
                <w:rFonts w:hint="eastAsia" w:ascii="仿宋" w:hAnsi="仿宋" w:eastAsia="仿宋" w:cs="仿宋"/>
                <w:sz w:val="24"/>
                <w:highlight w:val="none"/>
              </w:rPr>
              <w:t>评标委员会对各投标人的商务标、</w:t>
            </w:r>
            <w:r>
              <w:rPr>
                <w:rFonts w:hint="eastAsia" w:ascii="仿宋" w:hAnsi="仿宋" w:eastAsia="仿宋" w:cs="仿宋"/>
                <w:sz w:val="24"/>
                <w:highlight w:val="none"/>
                <w:lang w:val="en-US" w:eastAsia="zh-CN"/>
              </w:rPr>
              <w:t>投标报价、信用评价</w:t>
            </w:r>
            <w:r>
              <w:rPr>
                <w:rFonts w:hint="eastAsia" w:ascii="仿宋" w:hAnsi="仿宋" w:eastAsia="仿宋" w:cs="仿宋"/>
                <w:sz w:val="24"/>
                <w:highlight w:val="none"/>
              </w:rPr>
              <w:t>进行计算、汇总及排名</w:t>
            </w:r>
            <w:r>
              <w:rPr>
                <w:rFonts w:hint="eastAsia" w:ascii="仿宋" w:hAnsi="仿宋" w:eastAsia="仿宋" w:cs="仿宋"/>
                <w:sz w:val="24"/>
                <w:highlight w:val="none"/>
                <w:lang w:eastAsia="zh-CN"/>
              </w:rPr>
              <w:t>，</w:t>
            </w:r>
            <w:r>
              <w:rPr>
                <w:rFonts w:hint="eastAsia" w:ascii="仿宋" w:hAnsi="仿宋" w:eastAsia="仿宋" w:cs="仿宋"/>
                <w:sz w:val="24"/>
                <w:highlight w:val="none"/>
                <w:lang w:val="en-US" w:eastAsia="zh-CN"/>
              </w:rPr>
              <w:t>并根据排名推荐经评审的入围投标人为：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皓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泰工程建设集团有限公司、新疆广阳工程建设有限公司、新疆聚祥建筑工程有限公司、永升建设集团有限公司</w:t>
            </w:r>
            <w:r>
              <w:rPr>
                <w:rFonts w:hint="eastAsia" w:ascii="仿宋" w:hAnsi="仿宋" w:eastAsia="仿宋" w:cs="仿宋"/>
                <w:sz w:val="24"/>
                <w:highlight w:val="none"/>
                <w:lang w:val="en-US" w:eastAsia="zh-CN"/>
              </w:rPr>
              <w:t>。</w:t>
            </w:r>
          </w:p>
          <w:p w14:paraId="71F81DB9">
            <w:pPr>
              <w:rPr>
                <w:rFonts w:hint="eastAsia" w:ascii="仿宋" w:hAnsi="仿宋" w:eastAsia="仿宋" w:cs="仿宋"/>
                <w:b w:val="0"/>
                <w:bCs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highlight w:val="none"/>
                <w:lang w:val="en-US" w:eastAsia="zh-CN"/>
              </w:rPr>
              <w:t>8、</w:t>
            </w:r>
            <w:r>
              <w:rPr>
                <w:rFonts w:hint="eastAsia" w:ascii="仿宋" w:hAnsi="仿宋" w:eastAsia="仿宋" w:cs="方正仿宋_GB2312"/>
                <w:sz w:val="24"/>
                <w:highlight w:val="none"/>
              </w:rPr>
              <w:t>经上阶段评审合格的入围投标人，由评标委员会按照技术标定性评审标准进行评审</w:t>
            </w:r>
            <w:r>
              <w:rPr>
                <w:rFonts w:hint="eastAsia" w:ascii="仿宋" w:hAnsi="仿宋" w:eastAsia="仿宋" w:cs="方正仿宋_GB2312"/>
                <w:sz w:val="24"/>
                <w:highlight w:val="none"/>
                <w:lang w:eastAsia="zh-CN"/>
              </w:rPr>
              <w:t>，</w:t>
            </w:r>
            <w:r>
              <w:rPr>
                <w:rFonts w:hint="eastAsia" w:ascii="仿宋" w:hAnsi="仿宋" w:eastAsia="仿宋" w:cs="方正仿宋_GB2312"/>
                <w:sz w:val="24"/>
                <w:highlight w:val="none"/>
              </w:rPr>
              <w:t>评标委员会成员指出每</w:t>
            </w:r>
            <w:r>
              <w:rPr>
                <w:rFonts w:hint="eastAsia" w:ascii="仿宋" w:hAnsi="仿宋" w:eastAsia="仿宋" w:cs="方正仿宋_GB2312"/>
                <w:sz w:val="24"/>
                <w:highlight w:val="none"/>
                <w:lang w:val="en-US" w:eastAsia="zh-CN"/>
              </w:rPr>
              <w:t>位</w:t>
            </w:r>
            <w:r>
              <w:rPr>
                <w:rFonts w:hint="eastAsia" w:ascii="仿宋" w:hAnsi="仿宋" w:eastAsia="仿宋" w:cs="方正仿宋_GB2312"/>
                <w:sz w:val="24"/>
                <w:highlight w:val="none"/>
              </w:rPr>
              <w:t>投标人技术标的优点和存在的缺陷、签订合同前应注意和澄清的事项等情况；评委个人评审完成后，由评标委员会</w:t>
            </w:r>
            <w:r>
              <w:rPr>
                <w:rFonts w:hint="eastAsia" w:ascii="仿宋" w:hAnsi="仿宋" w:eastAsia="仿宋" w:cs="方正仿宋_GB2312"/>
                <w:sz w:val="24"/>
                <w:highlight w:val="none"/>
                <w:lang w:val="en-US" w:eastAsia="zh-CN"/>
              </w:rPr>
              <w:t>组长</w:t>
            </w:r>
            <w:r>
              <w:rPr>
                <w:rFonts w:hint="eastAsia" w:ascii="仿宋" w:hAnsi="仿宋" w:eastAsia="仿宋" w:cs="方正仿宋_GB2312"/>
                <w:sz w:val="24"/>
                <w:highlight w:val="none"/>
              </w:rPr>
              <w:t>按照技术标定性评审汇总表汇总评审情况</w:t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highlight w:val="none"/>
                <w:lang w:val="en-US" w:eastAsia="zh-CN"/>
              </w:rPr>
              <w:t>。</w:t>
            </w:r>
          </w:p>
          <w:p w14:paraId="1104B8A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" w:hAnsi="仿宋" w:eastAsia="仿宋" w:cs="方正仿宋_GB2312"/>
                <w:sz w:val="24"/>
                <w:highlight w:val="none"/>
              </w:rPr>
            </w:pPr>
            <w:r>
              <w:rPr>
                <w:rFonts w:hint="eastAsia" w:ascii="仿宋" w:hAnsi="仿宋" w:eastAsia="仿宋" w:cs="方正仿宋_GB2312"/>
                <w:sz w:val="24"/>
                <w:highlight w:val="none"/>
                <w:lang w:val="en-US" w:eastAsia="zh-CN"/>
              </w:rPr>
              <w:t>9、</w:t>
            </w:r>
            <w:r>
              <w:rPr>
                <w:rFonts w:hint="eastAsia" w:ascii="仿宋" w:hAnsi="仿宋" w:eastAsia="仿宋" w:cs="方正仿宋_GB2312"/>
                <w:sz w:val="24"/>
                <w:highlight w:val="none"/>
              </w:rPr>
              <w:t>评标委员会向招标人推荐不排序的定标候选人。</w:t>
            </w:r>
          </w:p>
          <w:p w14:paraId="13A7F3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highlight w:val="none"/>
                <w:lang w:val="en-US" w:eastAsia="zh-CN" w:bidi="ar-SA"/>
              </w:rPr>
              <w:t>三、宣布评标结果</w:t>
            </w:r>
          </w:p>
          <w:p w14:paraId="344AF6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80" w:firstLineChars="200"/>
              <w:jc w:val="left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highlight w:val="none"/>
              </w:rPr>
              <w:t>推荐</w:t>
            </w:r>
            <w:r>
              <w:rPr>
                <w:rFonts w:hint="eastAsia" w:ascii="仿宋" w:hAnsi="仿宋" w:eastAsia="仿宋" w:cs="仿宋"/>
                <w:sz w:val="24"/>
                <w:highlight w:val="none"/>
                <w:lang w:val="en-US" w:eastAsia="zh-CN"/>
              </w:rPr>
              <w:t>定标</w:t>
            </w:r>
            <w:r>
              <w:rPr>
                <w:rFonts w:hint="eastAsia" w:ascii="仿宋" w:hAnsi="仿宋" w:eastAsia="仿宋" w:cs="仿宋"/>
                <w:sz w:val="24"/>
                <w:highlight w:val="none"/>
              </w:rPr>
              <w:t>候选人为：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highlight w:val="none"/>
                <w:lang w:val="en-US" w:eastAsia="zh-CN"/>
              </w:rPr>
              <w:t xml:space="preserve">  </w:t>
            </w:r>
          </w:p>
          <w:p w14:paraId="741B1D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40" w:firstLineChars="200"/>
              <w:jc w:val="left"/>
              <w:textAlignment w:val="auto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皓泰工程建设集团有限公司</w:t>
            </w:r>
          </w:p>
          <w:p w14:paraId="3106DE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40" w:firstLineChars="200"/>
              <w:jc w:val="left"/>
              <w:textAlignment w:val="auto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新疆广阳工程建设有限公司</w:t>
            </w:r>
          </w:p>
          <w:p w14:paraId="4EEAD8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40" w:firstLineChars="200"/>
              <w:jc w:val="left"/>
              <w:textAlignment w:val="auto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新疆聚祥建筑工程有限公司</w:t>
            </w:r>
          </w:p>
          <w:p w14:paraId="06F923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40" w:firstLineChars="200"/>
              <w:jc w:val="left"/>
              <w:textAlignment w:val="auto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永升建设集团有限公司</w:t>
            </w:r>
          </w:p>
          <w:p w14:paraId="1D91A9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80" w:firstLineChars="200"/>
              <w:jc w:val="left"/>
              <w:textAlignment w:val="auto"/>
              <w:rPr>
                <w:rFonts w:hint="default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 w:bidi="ar-SA"/>
              </w:rPr>
              <w:t>评标委员会全体成员在“评分汇总表”、“开标评标会现场记录”等签字确认评标结果，并对评标结果负责。</w:t>
            </w:r>
          </w:p>
          <w:p w14:paraId="10899D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default" w:ascii="仿宋" w:hAnsi="仿宋" w:eastAsia="仿宋" w:cs="仿宋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highlight w:val="none"/>
                <w:lang w:val="en-US" w:eastAsia="zh-CN"/>
              </w:rPr>
              <w:t>招标代理机构工作人员</w:t>
            </w:r>
            <w:r>
              <w:rPr>
                <w:rFonts w:hint="eastAsia" w:ascii="仿宋" w:hAnsi="仿宋" w:eastAsia="仿宋" w:cs="仿宋"/>
                <w:sz w:val="24"/>
                <w:highlight w:val="none"/>
              </w:rPr>
              <w:t>宣布开标、评标会议结束</w:t>
            </w:r>
            <w:r>
              <w:rPr>
                <w:rFonts w:hint="eastAsia" w:ascii="仿宋" w:hAnsi="仿宋" w:eastAsia="仿宋" w:cs="仿宋"/>
                <w:sz w:val="24"/>
                <w:highlight w:val="none"/>
                <w:lang w:eastAsia="zh-CN"/>
              </w:rPr>
              <w:t>。</w:t>
            </w:r>
          </w:p>
        </w:tc>
      </w:tr>
      <w:tr w14:paraId="64740E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6" w:hRule="atLeast"/>
          <w:jc w:val="center"/>
        </w:trPr>
        <w:tc>
          <w:tcPr>
            <w:tcW w:w="1635" w:type="dxa"/>
            <w:noWrap w:val="0"/>
            <w:vAlign w:val="center"/>
          </w:tcPr>
          <w:p w14:paraId="53AD20C4">
            <w:pPr>
              <w:rPr>
                <w:rFonts w:hint="eastAsia" w:ascii="仿宋" w:hAnsi="仿宋" w:eastAsia="仿宋" w:cs="仿宋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highlight w:val="none"/>
                <w:lang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4"/>
                <w:highlight w:val="none"/>
              </w:rPr>
              <w:t>评委签字</w:t>
            </w:r>
          </w:p>
        </w:tc>
        <w:tc>
          <w:tcPr>
            <w:tcW w:w="8307" w:type="dxa"/>
            <w:gridSpan w:val="4"/>
            <w:noWrap w:val="0"/>
            <w:vAlign w:val="center"/>
          </w:tcPr>
          <w:p w14:paraId="42F50B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" w:hAnsi="仿宋" w:eastAsia="仿宋" w:cs="仿宋"/>
                <w:sz w:val="24"/>
                <w:highlight w:val="none"/>
              </w:rPr>
            </w:pPr>
          </w:p>
        </w:tc>
      </w:tr>
    </w:tbl>
    <w:p w14:paraId="5EB3F783">
      <w:pPr>
        <w:spacing w:line="360" w:lineRule="auto"/>
        <w:rPr>
          <w:rFonts w:hint="eastAsia" w:ascii="仿宋" w:hAnsi="仿宋" w:eastAsia="仿宋" w:cs="仿宋"/>
          <w:sz w:val="24"/>
          <w:lang w:val="en-US" w:eastAsia="zh-CN"/>
        </w:rPr>
      </w:pPr>
      <w:r>
        <w:rPr>
          <w:rFonts w:hint="eastAsia" w:ascii="仿宋" w:hAnsi="仿宋" w:eastAsia="仿宋" w:cs="仿宋"/>
          <w:sz w:val="24"/>
        </w:rPr>
        <w:t xml:space="preserve">记录人：                                      </w:t>
      </w:r>
    </w:p>
    <w:sectPr>
      <w:headerReference r:id="rId3" w:type="default"/>
      <w:pgSz w:w="11906" w:h="16838"/>
      <w:pgMar w:top="850" w:right="850" w:bottom="850" w:left="85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Verdana">
    <w:panose1 w:val="020B0604030504040204"/>
    <w:charset w:val="00"/>
    <w:family w:val="auto"/>
    <w:pitch w:val="default"/>
    <w:sig w:usb0="A00006FF" w:usb1="4000205B" w:usb2="0000001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617E7B">
    <w:pPr>
      <w:pStyle w:val="7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0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MyYjk5OWE1NDNmZDE2ZDA1YTVlNGFlM2FhNjlkMjAifQ=="/>
  </w:docVars>
  <w:rsids>
    <w:rsidRoot w:val="00172A27"/>
    <w:rsid w:val="0003120F"/>
    <w:rsid w:val="00034B67"/>
    <w:rsid w:val="00044FA7"/>
    <w:rsid w:val="00055FA6"/>
    <w:rsid w:val="00070B98"/>
    <w:rsid w:val="000764B9"/>
    <w:rsid w:val="000818AA"/>
    <w:rsid w:val="00085C4F"/>
    <w:rsid w:val="000A0272"/>
    <w:rsid w:val="000A3D97"/>
    <w:rsid w:val="000A6892"/>
    <w:rsid w:val="000B43AB"/>
    <w:rsid w:val="000C6C89"/>
    <w:rsid w:val="000D28D7"/>
    <w:rsid w:val="000D5F7F"/>
    <w:rsid w:val="000E143C"/>
    <w:rsid w:val="00102845"/>
    <w:rsid w:val="001034C5"/>
    <w:rsid w:val="001166A0"/>
    <w:rsid w:val="00120CAB"/>
    <w:rsid w:val="0012283E"/>
    <w:rsid w:val="0014345E"/>
    <w:rsid w:val="00153369"/>
    <w:rsid w:val="0015595B"/>
    <w:rsid w:val="00165A80"/>
    <w:rsid w:val="00170F72"/>
    <w:rsid w:val="00175350"/>
    <w:rsid w:val="00183557"/>
    <w:rsid w:val="0018679C"/>
    <w:rsid w:val="001A0C37"/>
    <w:rsid w:val="001A7223"/>
    <w:rsid w:val="001B20AF"/>
    <w:rsid w:val="001B32E9"/>
    <w:rsid w:val="001C68E0"/>
    <w:rsid w:val="001D2B65"/>
    <w:rsid w:val="001E481D"/>
    <w:rsid w:val="00204AFC"/>
    <w:rsid w:val="002061C8"/>
    <w:rsid w:val="00244A5A"/>
    <w:rsid w:val="00244B1C"/>
    <w:rsid w:val="002468B0"/>
    <w:rsid w:val="00262837"/>
    <w:rsid w:val="00265759"/>
    <w:rsid w:val="00272272"/>
    <w:rsid w:val="00272920"/>
    <w:rsid w:val="002820FE"/>
    <w:rsid w:val="00297AB3"/>
    <w:rsid w:val="002A3644"/>
    <w:rsid w:val="002C6262"/>
    <w:rsid w:val="002C72FA"/>
    <w:rsid w:val="002C7AD7"/>
    <w:rsid w:val="002E21F2"/>
    <w:rsid w:val="002E2BDC"/>
    <w:rsid w:val="002E46F6"/>
    <w:rsid w:val="002F4F3B"/>
    <w:rsid w:val="002F5030"/>
    <w:rsid w:val="0031105D"/>
    <w:rsid w:val="00322CC8"/>
    <w:rsid w:val="0032594E"/>
    <w:rsid w:val="0032662B"/>
    <w:rsid w:val="00334210"/>
    <w:rsid w:val="00335535"/>
    <w:rsid w:val="00337F34"/>
    <w:rsid w:val="00344BA3"/>
    <w:rsid w:val="00347695"/>
    <w:rsid w:val="003503B2"/>
    <w:rsid w:val="003526FD"/>
    <w:rsid w:val="00360EB1"/>
    <w:rsid w:val="00367E00"/>
    <w:rsid w:val="003741AD"/>
    <w:rsid w:val="00376300"/>
    <w:rsid w:val="0039751F"/>
    <w:rsid w:val="003C2842"/>
    <w:rsid w:val="003D1810"/>
    <w:rsid w:val="003D32BD"/>
    <w:rsid w:val="003F4DFC"/>
    <w:rsid w:val="003F50C3"/>
    <w:rsid w:val="003F776D"/>
    <w:rsid w:val="00403348"/>
    <w:rsid w:val="0040571F"/>
    <w:rsid w:val="00406B7A"/>
    <w:rsid w:val="00420732"/>
    <w:rsid w:val="004219BA"/>
    <w:rsid w:val="00423E10"/>
    <w:rsid w:val="00435833"/>
    <w:rsid w:val="00436351"/>
    <w:rsid w:val="00453152"/>
    <w:rsid w:val="00466115"/>
    <w:rsid w:val="0048510C"/>
    <w:rsid w:val="004A5B52"/>
    <w:rsid w:val="004B549F"/>
    <w:rsid w:val="004B5508"/>
    <w:rsid w:val="004C10DE"/>
    <w:rsid w:val="004C2A82"/>
    <w:rsid w:val="004D0914"/>
    <w:rsid w:val="004E4686"/>
    <w:rsid w:val="00502605"/>
    <w:rsid w:val="00505DC4"/>
    <w:rsid w:val="0051206D"/>
    <w:rsid w:val="00515E30"/>
    <w:rsid w:val="00523AE1"/>
    <w:rsid w:val="005267E3"/>
    <w:rsid w:val="00545B02"/>
    <w:rsid w:val="00550C44"/>
    <w:rsid w:val="00565522"/>
    <w:rsid w:val="00567AEC"/>
    <w:rsid w:val="005757AF"/>
    <w:rsid w:val="005814E6"/>
    <w:rsid w:val="005840EC"/>
    <w:rsid w:val="005921BF"/>
    <w:rsid w:val="005A397D"/>
    <w:rsid w:val="005C3089"/>
    <w:rsid w:val="005D7BB6"/>
    <w:rsid w:val="005E2FCB"/>
    <w:rsid w:val="005E42F8"/>
    <w:rsid w:val="005F4590"/>
    <w:rsid w:val="00600A50"/>
    <w:rsid w:val="006074EF"/>
    <w:rsid w:val="00610AA8"/>
    <w:rsid w:val="00620CBE"/>
    <w:rsid w:val="00633414"/>
    <w:rsid w:val="00636019"/>
    <w:rsid w:val="00641549"/>
    <w:rsid w:val="00653375"/>
    <w:rsid w:val="00664DFC"/>
    <w:rsid w:val="006662E0"/>
    <w:rsid w:val="0067799F"/>
    <w:rsid w:val="00680E05"/>
    <w:rsid w:val="0068204F"/>
    <w:rsid w:val="006B050D"/>
    <w:rsid w:val="006B26A5"/>
    <w:rsid w:val="006B4F66"/>
    <w:rsid w:val="006B777D"/>
    <w:rsid w:val="006C22C8"/>
    <w:rsid w:val="006C4DDE"/>
    <w:rsid w:val="006E09DF"/>
    <w:rsid w:val="006E3A2A"/>
    <w:rsid w:val="006E6B06"/>
    <w:rsid w:val="00702C73"/>
    <w:rsid w:val="0070536D"/>
    <w:rsid w:val="0071389C"/>
    <w:rsid w:val="00743D7E"/>
    <w:rsid w:val="00746847"/>
    <w:rsid w:val="0075018C"/>
    <w:rsid w:val="007514B6"/>
    <w:rsid w:val="007637BF"/>
    <w:rsid w:val="007642B8"/>
    <w:rsid w:val="0077320E"/>
    <w:rsid w:val="00781F28"/>
    <w:rsid w:val="00787669"/>
    <w:rsid w:val="007954E4"/>
    <w:rsid w:val="00796633"/>
    <w:rsid w:val="007A066E"/>
    <w:rsid w:val="007B751A"/>
    <w:rsid w:val="007C0DC1"/>
    <w:rsid w:val="007C4344"/>
    <w:rsid w:val="007C587D"/>
    <w:rsid w:val="007F6699"/>
    <w:rsid w:val="00804EB1"/>
    <w:rsid w:val="0081275F"/>
    <w:rsid w:val="00813150"/>
    <w:rsid w:val="00817D49"/>
    <w:rsid w:val="00827A80"/>
    <w:rsid w:val="00832BCA"/>
    <w:rsid w:val="008354B5"/>
    <w:rsid w:val="008372CF"/>
    <w:rsid w:val="00841354"/>
    <w:rsid w:val="00861195"/>
    <w:rsid w:val="00863D47"/>
    <w:rsid w:val="00872257"/>
    <w:rsid w:val="0087330A"/>
    <w:rsid w:val="00873640"/>
    <w:rsid w:val="00874B93"/>
    <w:rsid w:val="00876B54"/>
    <w:rsid w:val="008850FB"/>
    <w:rsid w:val="00886BB4"/>
    <w:rsid w:val="0089294B"/>
    <w:rsid w:val="00894295"/>
    <w:rsid w:val="00895246"/>
    <w:rsid w:val="008A1B07"/>
    <w:rsid w:val="008A37F6"/>
    <w:rsid w:val="008B688B"/>
    <w:rsid w:val="008E3607"/>
    <w:rsid w:val="00935BF5"/>
    <w:rsid w:val="00951D8A"/>
    <w:rsid w:val="00963A5C"/>
    <w:rsid w:val="00972B5D"/>
    <w:rsid w:val="0097498D"/>
    <w:rsid w:val="009759C4"/>
    <w:rsid w:val="009917A6"/>
    <w:rsid w:val="00994AE7"/>
    <w:rsid w:val="009A1DCE"/>
    <w:rsid w:val="009B5F0F"/>
    <w:rsid w:val="009E7822"/>
    <w:rsid w:val="009F1924"/>
    <w:rsid w:val="009F1BD1"/>
    <w:rsid w:val="00A03F55"/>
    <w:rsid w:val="00A148FE"/>
    <w:rsid w:val="00A25A9F"/>
    <w:rsid w:val="00A26410"/>
    <w:rsid w:val="00A46393"/>
    <w:rsid w:val="00A51F6F"/>
    <w:rsid w:val="00A55721"/>
    <w:rsid w:val="00A80ACF"/>
    <w:rsid w:val="00A80ED5"/>
    <w:rsid w:val="00A8258C"/>
    <w:rsid w:val="00AA446A"/>
    <w:rsid w:val="00AA66C8"/>
    <w:rsid w:val="00AA7F07"/>
    <w:rsid w:val="00AC091A"/>
    <w:rsid w:val="00AC1119"/>
    <w:rsid w:val="00AE630A"/>
    <w:rsid w:val="00AF04CF"/>
    <w:rsid w:val="00B15413"/>
    <w:rsid w:val="00B2791A"/>
    <w:rsid w:val="00B3755D"/>
    <w:rsid w:val="00B4255D"/>
    <w:rsid w:val="00B527B9"/>
    <w:rsid w:val="00B6417B"/>
    <w:rsid w:val="00B70861"/>
    <w:rsid w:val="00B724E1"/>
    <w:rsid w:val="00B7372F"/>
    <w:rsid w:val="00B93E64"/>
    <w:rsid w:val="00BA362D"/>
    <w:rsid w:val="00BA5A7F"/>
    <w:rsid w:val="00BB2EBF"/>
    <w:rsid w:val="00BD3E71"/>
    <w:rsid w:val="00BE7B70"/>
    <w:rsid w:val="00BF4CC1"/>
    <w:rsid w:val="00C11C5B"/>
    <w:rsid w:val="00C23DD1"/>
    <w:rsid w:val="00C350EF"/>
    <w:rsid w:val="00C42039"/>
    <w:rsid w:val="00C45AEF"/>
    <w:rsid w:val="00C47AAD"/>
    <w:rsid w:val="00C52B98"/>
    <w:rsid w:val="00C533AE"/>
    <w:rsid w:val="00C5478D"/>
    <w:rsid w:val="00C56989"/>
    <w:rsid w:val="00C718FE"/>
    <w:rsid w:val="00C74395"/>
    <w:rsid w:val="00C82263"/>
    <w:rsid w:val="00C82C17"/>
    <w:rsid w:val="00C9289E"/>
    <w:rsid w:val="00C9571B"/>
    <w:rsid w:val="00C95AE7"/>
    <w:rsid w:val="00CA10B4"/>
    <w:rsid w:val="00CA76F3"/>
    <w:rsid w:val="00CB30C4"/>
    <w:rsid w:val="00CC299C"/>
    <w:rsid w:val="00CC711E"/>
    <w:rsid w:val="00CD792A"/>
    <w:rsid w:val="00D0070B"/>
    <w:rsid w:val="00D04B20"/>
    <w:rsid w:val="00D24A88"/>
    <w:rsid w:val="00D24E97"/>
    <w:rsid w:val="00D315F1"/>
    <w:rsid w:val="00D45E01"/>
    <w:rsid w:val="00D50321"/>
    <w:rsid w:val="00D511F7"/>
    <w:rsid w:val="00D52AB4"/>
    <w:rsid w:val="00D574EA"/>
    <w:rsid w:val="00DA08A1"/>
    <w:rsid w:val="00DA2D2C"/>
    <w:rsid w:val="00DD162C"/>
    <w:rsid w:val="00DE4B1F"/>
    <w:rsid w:val="00DE6251"/>
    <w:rsid w:val="00E04E06"/>
    <w:rsid w:val="00E05B29"/>
    <w:rsid w:val="00E1476B"/>
    <w:rsid w:val="00E33673"/>
    <w:rsid w:val="00E340C7"/>
    <w:rsid w:val="00E636A7"/>
    <w:rsid w:val="00E65DAC"/>
    <w:rsid w:val="00E70BED"/>
    <w:rsid w:val="00E73D9A"/>
    <w:rsid w:val="00E74D86"/>
    <w:rsid w:val="00E87286"/>
    <w:rsid w:val="00EA6F59"/>
    <w:rsid w:val="00EB30EE"/>
    <w:rsid w:val="00ED0205"/>
    <w:rsid w:val="00EE21DE"/>
    <w:rsid w:val="00EE306F"/>
    <w:rsid w:val="00EE49FA"/>
    <w:rsid w:val="00EF2BB2"/>
    <w:rsid w:val="00EF2D53"/>
    <w:rsid w:val="00EF3397"/>
    <w:rsid w:val="00F04442"/>
    <w:rsid w:val="00F06C2B"/>
    <w:rsid w:val="00F20DAE"/>
    <w:rsid w:val="00F26A41"/>
    <w:rsid w:val="00F3419B"/>
    <w:rsid w:val="00F55AAB"/>
    <w:rsid w:val="00F6292E"/>
    <w:rsid w:val="00F82494"/>
    <w:rsid w:val="00FB2C75"/>
    <w:rsid w:val="00FC1A50"/>
    <w:rsid w:val="00FD02EB"/>
    <w:rsid w:val="00FD111B"/>
    <w:rsid w:val="00FE7ECE"/>
    <w:rsid w:val="00FF14A5"/>
    <w:rsid w:val="0120670E"/>
    <w:rsid w:val="012375FA"/>
    <w:rsid w:val="02B827E3"/>
    <w:rsid w:val="03865CF3"/>
    <w:rsid w:val="03D64987"/>
    <w:rsid w:val="048E7480"/>
    <w:rsid w:val="04ED779A"/>
    <w:rsid w:val="056179E1"/>
    <w:rsid w:val="064C6D4B"/>
    <w:rsid w:val="069D39AB"/>
    <w:rsid w:val="06A33F0A"/>
    <w:rsid w:val="074D0ED6"/>
    <w:rsid w:val="076651F9"/>
    <w:rsid w:val="076C74DA"/>
    <w:rsid w:val="07813810"/>
    <w:rsid w:val="078A1921"/>
    <w:rsid w:val="07C00EC1"/>
    <w:rsid w:val="07E040E7"/>
    <w:rsid w:val="07FA48B4"/>
    <w:rsid w:val="083821C1"/>
    <w:rsid w:val="08DA3F17"/>
    <w:rsid w:val="08E268A5"/>
    <w:rsid w:val="09404760"/>
    <w:rsid w:val="09711993"/>
    <w:rsid w:val="0A050FA9"/>
    <w:rsid w:val="0A11576F"/>
    <w:rsid w:val="0ADA4475"/>
    <w:rsid w:val="0B5F5F36"/>
    <w:rsid w:val="0B904402"/>
    <w:rsid w:val="0BE703D0"/>
    <w:rsid w:val="0CD50B4A"/>
    <w:rsid w:val="0CF1468E"/>
    <w:rsid w:val="0D3327EB"/>
    <w:rsid w:val="0DB43043"/>
    <w:rsid w:val="0E2C45CC"/>
    <w:rsid w:val="0F5D3F88"/>
    <w:rsid w:val="0F9330C3"/>
    <w:rsid w:val="0F93322E"/>
    <w:rsid w:val="0F9F7172"/>
    <w:rsid w:val="0FDA0B46"/>
    <w:rsid w:val="100F5C2A"/>
    <w:rsid w:val="107531FC"/>
    <w:rsid w:val="10BD3789"/>
    <w:rsid w:val="129D0F1F"/>
    <w:rsid w:val="13031A43"/>
    <w:rsid w:val="13BB3463"/>
    <w:rsid w:val="158A7740"/>
    <w:rsid w:val="15D846CD"/>
    <w:rsid w:val="173914CE"/>
    <w:rsid w:val="17492063"/>
    <w:rsid w:val="177B7D8B"/>
    <w:rsid w:val="1790042B"/>
    <w:rsid w:val="17B600FE"/>
    <w:rsid w:val="18B7340D"/>
    <w:rsid w:val="19C909FB"/>
    <w:rsid w:val="1A22449B"/>
    <w:rsid w:val="1AE5202D"/>
    <w:rsid w:val="1B2B00A5"/>
    <w:rsid w:val="1C315E8F"/>
    <w:rsid w:val="1C805BC0"/>
    <w:rsid w:val="1CFE2B0F"/>
    <w:rsid w:val="1D907783"/>
    <w:rsid w:val="1D9B0B88"/>
    <w:rsid w:val="1DE37B53"/>
    <w:rsid w:val="1E786747"/>
    <w:rsid w:val="1EEE02A9"/>
    <w:rsid w:val="1FAB6CE1"/>
    <w:rsid w:val="20423E89"/>
    <w:rsid w:val="209F5271"/>
    <w:rsid w:val="217355DC"/>
    <w:rsid w:val="21E9094A"/>
    <w:rsid w:val="22936354"/>
    <w:rsid w:val="22DA1AB6"/>
    <w:rsid w:val="22FF0EF1"/>
    <w:rsid w:val="238D742C"/>
    <w:rsid w:val="23B513CF"/>
    <w:rsid w:val="24033838"/>
    <w:rsid w:val="24283596"/>
    <w:rsid w:val="2492221D"/>
    <w:rsid w:val="24B212C7"/>
    <w:rsid w:val="250D6F10"/>
    <w:rsid w:val="25390375"/>
    <w:rsid w:val="25AF2D9F"/>
    <w:rsid w:val="25EF40E4"/>
    <w:rsid w:val="260F711B"/>
    <w:rsid w:val="261B2254"/>
    <w:rsid w:val="268A3DA2"/>
    <w:rsid w:val="27352F60"/>
    <w:rsid w:val="27C2106B"/>
    <w:rsid w:val="2833607F"/>
    <w:rsid w:val="28411EBE"/>
    <w:rsid w:val="28540EAB"/>
    <w:rsid w:val="2880055D"/>
    <w:rsid w:val="289A5E6A"/>
    <w:rsid w:val="28E657F3"/>
    <w:rsid w:val="29830199"/>
    <w:rsid w:val="2A5D513F"/>
    <w:rsid w:val="2AE852E0"/>
    <w:rsid w:val="2B23605E"/>
    <w:rsid w:val="2B2A29B3"/>
    <w:rsid w:val="2B4D0C4C"/>
    <w:rsid w:val="2B9541BE"/>
    <w:rsid w:val="2BF52E62"/>
    <w:rsid w:val="2C1F75D4"/>
    <w:rsid w:val="2C8973E8"/>
    <w:rsid w:val="2CD37F8E"/>
    <w:rsid w:val="2D7D1729"/>
    <w:rsid w:val="2D8C1765"/>
    <w:rsid w:val="2DB9081B"/>
    <w:rsid w:val="2E657220"/>
    <w:rsid w:val="2E976DAE"/>
    <w:rsid w:val="2ED06E1B"/>
    <w:rsid w:val="2FA35ACB"/>
    <w:rsid w:val="30584F0B"/>
    <w:rsid w:val="30854EA0"/>
    <w:rsid w:val="30A62CB9"/>
    <w:rsid w:val="326636DC"/>
    <w:rsid w:val="33341052"/>
    <w:rsid w:val="334F40FB"/>
    <w:rsid w:val="335523BF"/>
    <w:rsid w:val="34021DD4"/>
    <w:rsid w:val="34366965"/>
    <w:rsid w:val="35536BAB"/>
    <w:rsid w:val="356865F9"/>
    <w:rsid w:val="35755760"/>
    <w:rsid w:val="359D4DB3"/>
    <w:rsid w:val="366E1C99"/>
    <w:rsid w:val="36712C50"/>
    <w:rsid w:val="36C51273"/>
    <w:rsid w:val="36EA33C7"/>
    <w:rsid w:val="37CF1A14"/>
    <w:rsid w:val="37E35359"/>
    <w:rsid w:val="380105BA"/>
    <w:rsid w:val="381C0D78"/>
    <w:rsid w:val="38A31D67"/>
    <w:rsid w:val="38A34356"/>
    <w:rsid w:val="38F34D72"/>
    <w:rsid w:val="396F4F1E"/>
    <w:rsid w:val="3A0F758F"/>
    <w:rsid w:val="3AA76382"/>
    <w:rsid w:val="3AF911A7"/>
    <w:rsid w:val="3B1B6FF6"/>
    <w:rsid w:val="3B2B7665"/>
    <w:rsid w:val="3B685BA7"/>
    <w:rsid w:val="3BA11D9A"/>
    <w:rsid w:val="3C843493"/>
    <w:rsid w:val="3CB62BEC"/>
    <w:rsid w:val="3D6819B8"/>
    <w:rsid w:val="3D6F79ED"/>
    <w:rsid w:val="3DD455BB"/>
    <w:rsid w:val="3DE52CA9"/>
    <w:rsid w:val="3E037C4A"/>
    <w:rsid w:val="3E093C66"/>
    <w:rsid w:val="3E8A54D4"/>
    <w:rsid w:val="3EDD789F"/>
    <w:rsid w:val="3F000E09"/>
    <w:rsid w:val="3FFF767F"/>
    <w:rsid w:val="40077CE6"/>
    <w:rsid w:val="400C523F"/>
    <w:rsid w:val="413D6904"/>
    <w:rsid w:val="42555594"/>
    <w:rsid w:val="42624F84"/>
    <w:rsid w:val="42970CCC"/>
    <w:rsid w:val="42E27C01"/>
    <w:rsid w:val="43120CA1"/>
    <w:rsid w:val="4376290A"/>
    <w:rsid w:val="43A16B3C"/>
    <w:rsid w:val="43A84C8C"/>
    <w:rsid w:val="43BC5137"/>
    <w:rsid w:val="44301673"/>
    <w:rsid w:val="444D1753"/>
    <w:rsid w:val="44723F74"/>
    <w:rsid w:val="44A245A4"/>
    <w:rsid w:val="45075B34"/>
    <w:rsid w:val="45372C41"/>
    <w:rsid w:val="453A5AC6"/>
    <w:rsid w:val="459018D9"/>
    <w:rsid w:val="45C32DB9"/>
    <w:rsid w:val="45F63D32"/>
    <w:rsid w:val="472965B9"/>
    <w:rsid w:val="475444D9"/>
    <w:rsid w:val="47552708"/>
    <w:rsid w:val="475B33A6"/>
    <w:rsid w:val="47C65E4E"/>
    <w:rsid w:val="48751185"/>
    <w:rsid w:val="4881562A"/>
    <w:rsid w:val="488A606A"/>
    <w:rsid w:val="48C3755B"/>
    <w:rsid w:val="493F61E5"/>
    <w:rsid w:val="498A0AF2"/>
    <w:rsid w:val="49E20191"/>
    <w:rsid w:val="4A5B4CDC"/>
    <w:rsid w:val="4B712D03"/>
    <w:rsid w:val="4B7A7BAC"/>
    <w:rsid w:val="4C38401E"/>
    <w:rsid w:val="4C5754D1"/>
    <w:rsid w:val="4CC57E3D"/>
    <w:rsid w:val="4D220EB6"/>
    <w:rsid w:val="4D27420B"/>
    <w:rsid w:val="4DCC34EF"/>
    <w:rsid w:val="4E1F60E3"/>
    <w:rsid w:val="4EF676C9"/>
    <w:rsid w:val="4F0C408A"/>
    <w:rsid w:val="4FAB0384"/>
    <w:rsid w:val="501E6ED7"/>
    <w:rsid w:val="50F639B0"/>
    <w:rsid w:val="5176172B"/>
    <w:rsid w:val="51CD298A"/>
    <w:rsid w:val="52147092"/>
    <w:rsid w:val="52AE5342"/>
    <w:rsid w:val="53E57C2F"/>
    <w:rsid w:val="544630E6"/>
    <w:rsid w:val="54547AC5"/>
    <w:rsid w:val="54867C30"/>
    <w:rsid w:val="54DF47D3"/>
    <w:rsid w:val="55077FE2"/>
    <w:rsid w:val="550A4611"/>
    <w:rsid w:val="55B900D0"/>
    <w:rsid w:val="561B13C7"/>
    <w:rsid w:val="561F7505"/>
    <w:rsid w:val="57045D74"/>
    <w:rsid w:val="572D79DE"/>
    <w:rsid w:val="58527628"/>
    <w:rsid w:val="58583C29"/>
    <w:rsid w:val="59297B2F"/>
    <w:rsid w:val="596E5A74"/>
    <w:rsid w:val="59754206"/>
    <w:rsid w:val="59810494"/>
    <w:rsid w:val="59B633BC"/>
    <w:rsid w:val="59CC4F37"/>
    <w:rsid w:val="5AAE6BFF"/>
    <w:rsid w:val="5ADE47BC"/>
    <w:rsid w:val="5B110E61"/>
    <w:rsid w:val="5BB54F4D"/>
    <w:rsid w:val="5BCA1D02"/>
    <w:rsid w:val="5BEE537B"/>
    <w:rsid w:val="5D0D08A3"/>
    <w:rsid w:val="5D3317F0"/>
    <w:rsid w:val="5D643A99"/>
    <w:rsid w:val="5D67657C"/>
    <w:rsid w:val="5D7C56DF"/>
    <w:rsid w:val="5DC1109B"/>
    <w:rsid w:val="5DD60DF1"/>
    <w:rsid w:val="5DD96F66"/>
    <w:rsid w:val="5E461482"/>
    <w:rsid w:val="5E9C0C23"/>
    <w:rsid w:val="5F232776"/>
    <w:rsid w:val="60A1246B"/>
    <w:rsid w:val="60A63400"/>
    <w:rsid w:val="60C76EAC"/>
    <w:rsid w:val="61007500"/>
    <w:rsid w:val="613D4CE3"/>
    <w:rsid w:val="629F47F2"/>
    <w:rsid w:val="62C879FC"/>
    <w:rsid w:val="62CC3929"/>
    <w:rsid w:val="63017644"/>
    <w:rsid w:val="636606F0"/>
    <w:rsid w:val="637532B6"/>
    <w:rsid w:val="63A3296B"/>
    <w:rsid w:val="64872B0E"/>
    <w:rsid w:val="64967BBD"/>
    <w:rsid w:val="651C47BF"/>
    <w:rsid w:val="655947E5"/>
    <w:rsid w:val="65F311F9"/>
    <w:rsid w:val="65F9047D"/>
    <w:rsid w:val="66137709"/>
    <w:rsid w:val="66680793"/>
    <w:rsid w:val="676C7B66"/>
    <w:rsid w:val="67826ED6"/>
    <w:rsid w:val="67A56E58"/>
    <w:rsid w:val="67F15470"/>
    <w:rsid w:val="68A23B03"/>
    <w:rsid w:val="68DE1929"/>
    <w:rsid w:val="68F10C62"/>
    <w:rsid w:val="68F50E79"/>
    <w:rsid w:val="69A63902"/>
    <w:rsid w:val="69CA6F37"/>
    <w:rsid w:val="69F7753F"/>
    <w:rsid w:val="6A384FF4"/>
    <w:rsid w:val="6A430169"/>
    <w:rsid w:val="6B067C98"/>
    <w:rsid w:val="6B3D1AC1"/>
    <w:rsid w:val="6BD62635"/>
    <w:rsid w:val="6C29545A"/>
    <w:rsid w:val="6C41754C"/>
    <w:rsid w:val="6C847C6A"/>
    <w:rsid w:val="6D340F65"/>
    <w:rsid w:val="6D496DE5"/>
    <w:rsid w:val="6D4D11A4"/>
    <w:rsid w:val="6DD51BC8"/>
    <w:rsid w:val="6E240720"/>
    <w:rsid w:val="6E2C143C"/>
    <w:rsid w:val="6E45162B"/>
    <w:rsid w:val="6EE16B9C"/>
    <w:rsid w:val="6F1326C1"/>
    <w:rsid w:val="6F493ACC"/>
    <w:rsid w:val="6FB62D4F"/>
    <w:rsid w:val="6FDB5BB3"/>
    <w:rsid w:val="706102C8"/>
    <w:rsid w:val="70952FDD"/>
    <w:rsid w:val="70DB2328"/>
    <w:rsid w:val="71235C9B"/>
    <w:rsid w:val="716B07A3"/>
    <w:rsid w:val="719153B4"/>
    <w:rsid w:val="722872EA"/>
    <w:rsid w:val="72570598"/>
    <w:rsid w:val="72DC6A79"/>
    <w:rsid w:val="72DF6AEF"/>
    <w:rsid w:val="745D28BC"/>
    <w:rsid w:val="74892F8F"/>
    <w:rsid w:val="74C253BE"/>
    <w:rsid w:val="75A61E4D"/>
    <w:rsid w:val="75BE45A2"/>
    <w:rsid w:val="75C15B87"/>
    <w:rsid w:val="75FF1DA9"/>
    <w:rsid w:val="76222141"/>
    <w:rsid w:val="7622434B"/>
    <w:rsid w:val="767B4233"/>
    <w:rsid w:val="76ED1FF3"/>
    <w:rsid w:val="77E62D4A"/>
    <w:rsid w:val="782868FE"/>
    <w:rsid w:val="78C431F9"/>
    <w:rsid w:val="78F35E38"/>
    <w:rsid w:val="7A235B7A"/>
    <w:rsid w:val="7A531C06"/>
    <w:rsid w:val="7A626187"/>
    <w:rsid w:val="7A97026F"/>
    <w:rsid w:val="7AAD2E23"/>
    <w:rsid w:val="7AFC07C8"/>
    <w:rsid w:val="7B064F8A"/>
    <w:rsid w:val="7B705F89"/>
    <w:rsid w:val="7C536D3F"/>
    <w:rsid w:val="7CFB44B1"/>
    <w:rsid w:val="7D450AA8"/>
    <w:rsid w:val="7DB00AEC"/>
    <w:rsid w:val="7DE14DA1"/>
    <w:rsid w:val="7E524CC2"/>
    <w:rsid w:val="7EA448D3"/>
    <w:rsid w:val="7ED9503F"/>
    <w:rsid w:val="7EF12996"/>
    <w:rsid w:val="7F3628C1"/>
    <w:rsid w:val="7F49484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qFormat="1"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qFormat="1" w:unhideWhenUsed="0" w:uiPriority="0" w:semiHidden="0" w:name="HTML Typewriter"/>
    <w:lsdException w:qFormat="1"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qFormat/>
    <w:uiPriority w:val="0"/>
  </w:style>
  <w:style w:type="table" w:default="1" w:styleId="9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99"/>
    <w:pPr>
      <w:spacing w:after="120"/>
    </w:pPr>
    <w:rPr>
      <w:kern w:val="0"/>
      <w:sz w:val="20"/>
    </w:rPr>
  </w:style>
  <w:style w:type="paragraph" w:styleId="3">
    <w:name w:val="Body Text Indent"/>
    <w:basedOn w:val="1"/>
    <w:next w:val="4"/>
    <w:qFormat/>
    <w:uiPriority w:val="0"/>
    <w:pPr>
      <w:spacing w:before="240" w:line="360" w:lineRule="auto"/>
      <w:ind w:firstLine="552" w:firstLineChars="263"/>
    </w:pPr>
    <w:rPr>
      <w:rFonts w:ascii="宋体" w:hAnsi="宋体"/>
      <w:szCs w:val="20"/>
    </w:rPr>
  </w:style>
  <w:style w:type="paragraph" w:styleId="4">
    <w:name w:val="Normal (Web)"/>
    <w:basedOn w:val="1"/>
    <w:next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5">
    <w:name w:val="Balloon Text"/>
    <w:basedOn w:val="1"/>
    <w:qFormat/>
    <w:uiPriority w:val="0"/>
    <w:rPr>
      <w:sz w:val="18"/>
      <w:szCs w:val="18"/>
    </w:rPr>
  </w:style>
  <w:style w:type="paragraph" w:styleId="6">
    <w:name w:val="footer"/>
    <w:basedOn w:val="1"/>
    <w:link w:val="24"/>
    <w:qFormat/>
    <w:uiPriority w:val="0"/>
    <w:pPr>
      <w:tabs>
        <w:tab w:val="center" w:pos="4153"/>
        <w:tab w:val="right" w:pos="8306"/>
      </w:tabs>
      <w:snapToGrid w:val="0"/>
      <w:jc w:val="left"/>
    </w:pPr>
    <w:rPr>
      <w:kern w:val="2"/>
      <w:sz w:val="18"/>
      <w:szCs w:val="18"/>
    </w:rPr>
  </w:style>
  <w:style w:type="paragraph" w:styleId="7">
    <w:name w:val="header"/>
    <w:basedOn w:val="1"/>
    <w:link w:val="2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2"/>
      <w:sz w:val="18"/>
      <w:szCs w:val="18"/>
    </w:rPr>
  </w:style>
  <w:style w:type="paragraph" w:styleId="8">
    <w:name w:val="Body Text First Indent 2"/>
    <w:basedOn w:val="3"/>
    <w:qFormat/>
    <w:uiPriority w:val="99"/>
    <w:pPr>
      <w:ind w:firstLine="420" w:firstLineChars="200"/>
    </w:pPr>
  </w:style>
  <w:style w:type="character" w:styleId="11">
    <w:name w:val="Strong"/>
    <w:basedOn w:val="10"/>
    <w:qFormat/>
    <w:uiPriority w:val="0"/>
  </w:style>
  <w:style w:type="character" w:styleId="12">
    <w:name w:val="page number"/>
    <w:basedOn w:val="10"/>
    <w:qFormat/>
    <w:uiPriority w:val="0"/>
  </w:style>
  <w:style w:type="character" w:styleId="13">
    <w:name w:val="FollowedHyperlink"/>
    <w:basedOn w:val="10"/>
    <w:qFormat/>
    <w:uiPriority w:val="0"/>
    <w:rPr>
      <w:color w:val="333333"/>
      <w:u w:val="none"/>
    </w:rPr>
  </w:style>
  <w:style w:type="character" w:styleId="14">
    <w:name w:val="Emphasis"/>
    <w:qFormat/>
    <w:uiPriority w:val="0"/>
    <w:rPr>
      <w:i/>
      <w:iCs/>
    </w:rPr>
  </w:style>
  <w:style w:type="character" w:styleId="15">
    <w:name w:val="HTML Definition"/>
    <w:basedOn w:val="10"/>
    <w:qFormat/>
    <w:uiPriority w:val="0"/>
  </w:style>
  <w:style w:type="character" w:styleId="16">
    <w:name w:val="HTML Typewriter"/>
    <w:basedOn w:val="10"/>
    <w:qFormat/>
    <w:uiPriority w:val="0"/>
    <w:rPr>
      <w:rFonts w:hint="default" w:ascii="monospace" w:hAnsi="monospace" w:eastAsia="monospace" w:cs="monospace"/>
      <w:sz w:val="20"/>
    </w:rPr>
  </w:style>
  <w:style w:type="character" w:styleId="17">
    <w:name w:val="HTML Acronym"/>
    <w:basedOn w:val="10"/>
    <w:qFormat/>
    <w:uiPriority w:val="0"/>
  </w:style>
  <w:style w:type="character" w:styleId="18">
    <w:name w:val="HTML Variable"/>
    <w:basedOn w:val="10"/>
    <w:qFormat/>
    <w:uiPriority w:val="0"/>
  </w:style>
  <w:style w:type="character" w:styleId="19">
    <w:name w:val="Hyperlink"/>
    <w:basedOn w:val="10"/>
    <w:qFormat/>
    <w:uiPriority w:val="0"/>
    <w:rPr>
      <w:color w:val="333333"/>
      <w:u w:val="none"/>
    </w:rPr>
  </w:style>
  <w:style w:type="character" w:styleId="20">
    <w:name w:val="HTML Code"/>
    <w:basedOn w:val="10"/>
    <w:qFormat/>
    <w:uiPriority w:val="0"/>
    <w:rPr>
      <w:rFonts w:hint="default" w:ascii="monospace" w:hAnsi="monospace" w:eastAsia="monospace" w:cs="monospace"/>
      <w:sz w:val="20"/>
    </w:rPr>
  </w:style>
  <w:style w:type="character" w:styleId="21">
    <w:name w:val="HTML Cite"/>
    <w:basedOn w:val="10"/>
    <w:qFormat/>
    <w:uiPriority w:val="0"/>
  </w:style>
  <w:style w:type="character" w:styleId="22">
    <w:name w:val="HTML Keyboard"/>
    <w:basedOn w:val="10"/>
    <w:qFormat/>
    <w:uiPriority w:val="0"/>
    <w:rPr>
      <w:rFonts w:hint="default" w:ascii="monospace" w:hAnsi="monospace" w:eastAsia="monospace" w:cs="monospace"/>
      <w:sz w:val="20"/>
    </w:rPr>
  </w:style>
  <w:style w:type="character" w:styleId="23">
    <w:name w:val="HTML Sample"/>
    <w:basedOn w:val="10"/>
    <w:qFormat/>
    <w:uiPriority w:val="0"/>
    <w:rPr>
      <w:rFonts w:ascii="monospace" w:hAnsi="monospace" w:eastAsia="monospace" w:cs="monospace"/>
    </w:rPr>
  </w:style>
  <w:style w:type="character" w:customStyle="1" w:styleId="24">
    <w:name w:val="页脚 字符"/>
    <w:link w:val="6"/>
    <w:qFormat/>
    <w:uiPriority w:val="0"/>
    <w:rPr>
      <w:kern w:val="2"/>
      <w:sz w:val="18"/>
      <w:szCs w:val="18"/>
    </w:rPr>
  </w:style>
  <w:style w:type="character" w:customStyle="1" w:styleId="25">
    <w:name w:val="页眉 字符"/>
    <w:link w:val="7"/>
    <w:qFormat/>
    <w:uiPriority w:val="0"/>
    <w:rPr>
      <w:kern w:val="2"/>
      <w:sz w:val="18"/>
      <w:szCs w:val="18"/>
    </w:rPr>
  </w:style>
  <w:style w:type="paragraph" w:customStyle="1" w:styleId="26">
    <w:name w:val="默认段落字体 Para Char"/>
    <w:basedOn w:val="1"/>
    <w:qFormat/>
    <w:uiPriority w:val="99"/>
    <w:pPr>
      <w:adjustRightInd w:val="0"/>
      <w:spacing w:line="360" w:lineRule="auto"/>
    </w:pPr>
  </w:style>
  <w:style w:type="character" w:customStyle="1" w:styleId="27">
    <w:name w:val="ui-icon32"/>
    <w:basedOn w:val="10"/>
    <w:qFormat/>
    <w:uiPriority w:val="0"/>
  </w:style>
  <w:style w:type="character" w:customStyle="1" w:styleId="28">
    <w:name w:val="ui-icon33"/>
    <w:basedOn w:val="10"/>
    <w:qFormat/>
    <w:uiPriority w:val="0"/>
  </w:style>
  <w:style w:type="character" w:customStyle="1" w:styleId="29">
    <w:name w:val="ui-icon34"/>
    <w:basedOn w:val="10"/>
    <w:qFormat/>
    <w:uiPriority w:val="0"/>
  </w:style>
  <w:style w:type="character" w:customStyle="1" w:styleId="30">
    <w:name w:val="ui-selectmenu-text"/>
    <w:basedOn w:val="10"/>
    <w:qFormat/>
    <w:uiPriority w:val="0"/>
  </w:style>
  <w:style w:type="character" w:customStyle="1" w:styleId="31">
    <w:name w:val="gld-web-grid1"/>
    <w:basedOn w:val="10"/>
    <w:qFormat/>
    <w:uiPriority w:val="0"/>
  </w:style>
  <w:style w:type="character" w:customStyle="1" w:styleId="32">
    <w:name w:val="ui-icon40"/>
    <w:basedOn w:val="10"/>
    <w:qFormat/>
    <w:uiPriority w:val="0"/>
  </w:style>
  <w:style w:type="character" w:customStyle="1" w:styleId="33">
    <w:name w:val="ui-icon41"/>
    <w:basedOn w:val="10"/>
    <w:qFormat/>
    <w:uiPriority w:val="0"/>
  </w:style>
  <w:style w:type="character" w:customStyle="1" w:styleId="34">
    <w:name w:val="ui-icon42"/>
    <w:basedOn w:val="10"/>
    <w:qFormat/>
    <w:uiPriority w:val="0"/>
  </w:style>
  <w:style w:type="character" w:customStyle="1" w:styleId="35">
    <w:name w:val="ui-icon39"/>
    <w:basedOn w:val="10"/>
    <w:qFormat/>
    <w:uiPriority w:val="0"/>
  </w:style>
  <w:style w:type="character" w:customStyle="1" w:styleId="36">
    <w:name w:val="ui-icon35"/>
    <w:basedOn w:val="10"/>
    <w:qFormat/>
    <w:uiPriority w:val="0"/>
  </w:style>
  <w:style w:type="character" w:customStyle="1" w:styleId="37">
    <w:name w:val="ui-icon36"/>
    <w:basedOn w:val="10"/>
    <w:qFormat/>
    <w:uiPriority w:val="0"/>
  </w:style>
  <w:style w:type="character" w:customStyle="1" w:styleId="38">
    <w:name w:val="ui-icon37"/>
    <w:basedOn w:val="10"/>
    <w:qFormat/>
    <w:uiPriority w:val="0"/>
  </w:style>
  <w:style w:type="character" w:customStyle="1" w:styleId="39">
    <w:name w:val="dxrpheader_office2010blue"/>
    <w:basedOn w:val="10"/>
    <w:qFormat/>
    <w:uiPriority w:val="0"/>
    <w:rPr>
      <w:rFonts w:ascii="Verdana" w:hAnsi="Verdana" w:cs="Verdana"/>
      <w:color w:val="1E395B"/>
      <w:sz w:val="16"/>
      <w:szCs w:val="16"/>
      <w:shd w:val="clear" w:color="auto" w:fill="EAF1FA"/>
    </w:rPr>
  </w:style>
  <w:style w:type="character" w:customStyle="1" w:styleId="40">
    <w:name w:val="hover"/>
    <w:basedOn w:val="10"/>
    <w:qFormat/>
    <w:uiPriority w:val="0"/>
    <w:rPr>
      <w:color w:val="2590EB"/>
    </w:rPr>
  </w:style>
  <w:style w:type="character" w:customStyle="1" w:styleId="41">
    <w:name w:val="hover1"/>
    <w:basedOn w:val="10"/>
    <w:qFormat/>
    <w:uiPriority w:val="0"/>
  </w:style>
  <w:style w:type="character" w:customStyle="1" w:styleId="42">
    <w:name w:val="hover2"/>
    <w:basedOn w:val="10"/>
    <w:qFormat/>
    <w:uiPriority w:val="0"/>
    <w:rPr>
      <w:color w:val="2590EB"/>
    </w:rPr>
  </w:style>
  <w:style w:type="character" w:customStyle="1" w:styleId="43">
    <w:name w:val="hover3"/>
    <w:basedOn w:val="10"/>
    <w:qFormat/>
    <w:uiPriority w:val="0"/>
    <w:rPr>
      <w:color w:val="2590EB"/>
      <w:shd w:val="clear" w:color="auto" w:fill="E9F4FD"/>
    </w:rPr>
  </w:style>
  <w:style w:type="character" w:customStyle="1" w:styleId="44">
    <w:name w:val="hover4"/>
    <w:basedOn w:val="10"/>
    <w:qFormat/>
    <w:uiPriority w:val="0"/>
    <w:rPr>
      <w:color w:val="2590EB"/>
      <w:shd w:val="clear" w:color="auto" w:fill="E9F4FD"/>
    </w:rPr>
  </w:style>
  <w:style w:type="paragraph" w:customStyle="1" w:styleId="45">
    <w:name w:val="正文文字 1"/>
    <w:basedOn w:val="1"/>
    <w:next w:val="1"/>
    <w:qFormat/>
    <w:uiPriority w:val="99"/>
    <w:pPr>
      <w:ind w:firstLine="0" w:firstLineChars="0"/>
      <w:jc w:val="left"/>
    </w:pPr>
    <w:rPr>
      <w:rFonts w:eastAsia="宋体"/>
      <w:b/>
      <w:sz w:val="24"/>
    </w:rPr>
  </w:style>
  <w:style w:type="character" w:customStyle="1" w:styleId="46">
    <w:name w:val="toolbarlabel2"/>
    <w:basedOn w:val="10"/>
    <w:qFormat/>
    <w:uiPriority w:val="0"/>
  </w:style>
  <w:style w:type="paragraph" w:customStyle="1" w:styleId="47">
    <w:name w:val="正文_0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1587</Words>
  <Characters>1601</Characters>
  <Lines>15</Lines>
  <Paragraphs>4</Paragraphs>
  <TotalTime>0</TotalTime>
  <ScaleCrop>false</ScaleCrop>
  <LinksUpToDate>false</LinksUpToDate>
  <CharactersWithSpaces>1645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2017-05-18T03:44:00Z</dcterms:created>
  <dc:creator>hl</dc:creator>
  <cp:lastModifiedBy></cp:lastModifiedBy>
  <cp:lastPrinted>2026-06-09T07:34:00Z</cp:lastPrinted>
  <dcterms:modified xsi:type="dcterms:W3CDTF">2026-10-16T10:47:44Z</dcterms:modified>
  <dc:title>评 标 记 录</dc:title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8AACF5861F1747939C2CD5962BEE7602</vt:lpwstr>
  </property>
  <property fmtid="{D5CDD505-2E9C-101B-9397-08002B2CF9AE}" pid="4" name="KSOTemplateDocerSaveRecord">
    <vt:lpwstr>eyJoZGlkIjoiMmNiOTVmMjZiOWY5NDNmYzJkMTE0YjQ1Njg2NzNlOGEiLCJ1c2VySWQiOiI0MjY2Mzk4NzkifQ==</vt:lpwstr>
  </property>
</Properties>
</file>