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8B946">
      <w:pPr>
        <w:ind w:firstLine="0" w:firstLineChars="0"/>
      </w:pPr>
    </w:p>
    <w:p w14:paraId="33B89C3B">
      <w:pPr>
        <w:ind w:firstLine="0" w:firstLineChars="0"/>
      </w:pPr>
    </w:p>
    <w:p w14:paraId="4C4E4931">
      <w:pPr>
        <w:ind w:firstLine="0" w:firstLineChars="0"/>
      </w:pPr>
    </w:p>
    <w:p w14:paraId="725ABAC2">
      <w:pPr>
        <w:ind w:firstLine="0" w:firstLineChars="0"/>
      </w:pPr>
    </w:p>
    <w:p w14:paraId="1DBB9C24">
      <w:pPr>
        <w:ind w:firstLine="0" w:firstLineChars="0"/>
      </w:pPr>
    </w:p>
    <w:p w14:paraId="4161C7B3">
      <w:pPr>
        <w:ind w:firstLine="1566" w:firstLineChars="300"/>
        <w:jc w:val="both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克拉玛依不见面开标大厅</w:t>
      </w:r>
    </w:p>
    <w:p w14:paraId="5F3707D3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招标代理</w:t>
      </w:r>
      <w:r>
        <w:rPr>
          <w:b/>
          <w:sz w:val="52"/>
          <w:szCs w:val="52"/>
        </w:rPr>
        <w:t>操作手册</w:t>
      </w:r>
    </w:p>
    <w:p w14:paraId="5D3415C6">
      <w:pPr>
        <w:pStyle w:val="61"/>
        <w:ind w:firstLine="360"/>
      </w:pPr>
    </w:p>
    <w:p w14:paraId="32342AE4">
      <w:pPr>
        <w:pStyle w:val="61"/>
        <w:ind w:firstLine="360"/>
      </w:pPr>
    </w:p>
    <w:p w14:paraId="165E3E21">
      <w:pPr>
        <w:pStyle w:val="61"/>
        <w:ind w:firstLine="360"/>
      </w:pPr>
    </w:p>
    <w:p w14:paraId="38822E89">
      <w:pPr>
        <w:pStyle w:val="61"/>
        <w:ind w:firstLine="360"/>
      </w:pPr>
    </w:p>
    <w:p w14:paraId="36CBB4FB">
      <w:pPr>
        <w:pStyle w:val="61"/>
        <w:ind w:firstLine="360"/>
      </w:pPr>
    </w:p>
    <w:p w14:paraId="67B38A22">
      <w:pPr>
        <w:pStyle w:val="61"/>
        <w:ind w:firstLine="360"/>
      </w:pPr>
    </w:p>
    <w:p w14:paraId="63C3C246">
      <w:pPr>
        <w:pStyle w:val="61"/>
        <w:ind w:firstLine="360"/>
      </w:pPr>
    </w:p>
    <w:p w14:paraId="13523BF5">
      <w:pPr>
        <w:pStyle w:val="61"/>
        <w:ind w:firstLine="360"/>
      </w:pPr>
    </w:p>
    <w:p w14:paraId="02E7C86F">
      <w:pPr>
        <w:pStyle w:val="61"/>
        <w:ind w:firstLine="360"/>
      </w:pPr>
    </w:p>
    <w:p w14:paraId="23222CB6">
      <w:pPr>
        <w:pStyle w:val="61"/>
        <w:ind w:firstLine="360"/>
      </w:pPr>
    </w:p>
    <w:p w14:paraId="6E23C6BF">
      <w:pPr>
        <w:pStyle w:val="61"/>
        <w:ind w:firstLine="360"/>
      </w:pPr>
    </w:p>
    <w:p w14:paraId="7F2BFCB4">
      <w:pPr>
        <w:pStyle w:val="61"/>
        <w:ind w:firstLine="360"/>
      </w:pPr>
    </w:p>
    <w:p w14:paraId="3A42782C">
      <w:pPr>
        <w:pStyle w:val="61"/>
        <w:ind w:firstLine="360"/>
      </w:pPr>
    </w:p>
    <w:p w14:paraId="5AA5DAF2">
      <w:pPr>
        <w:pStyle w:val="61"/>
        <w:ind w:firstLine="360"/>
      </w:pPr>
    </w:p>
    <w:p w14:paraId="23BB9BE2">
      <w:pPr>
        <w:pStyle w:val="61"/>
        <w:ind w:firstLine="360"/>
      </w:pPr>
    </w:p>
    <w:p w14:paraId="7744EB97">
      <w:pPr>
        <w:pStyle w:val="61"/>
        <w:ind w:firstLine="360"/>
      </w:pPr>
    </w:p>
    <w:p w14:paraId="507B31C0">
      <w:pPr>
        <w:pStyle w:val="61"/>
        <w:ind w:firstLine="360"/>
      </w:pPr>
    </w:p>
    <w:p w14:paraId="75402099">
      <w:pPr>
        <w:pStyle w:val="61"/>
        <w:ind w:firstLine="360"/>
      </w:pPr>
    </w:p>
    <w:p w14:paraId="382F7DD3">
      <w:pPr>
        <w:pStyle w:val="61"/>
        <w:ind w:firstLine="360"/>
      </w:pPr>
    </w:p>
    <w:p w14:paraId="10FAE564">
      <w:pPr>
        <w:pStyle w:val="61"/>
        <w:ind w:firstLine="360"/>
      </w:pPr>
    </w:p>
    <w:p w14:paraId="043EE9B9">
      <w:pPr>
        <w:spacing w:line="240" w:lineRule="auto"/>
        <w:ind w:firstLine="0" w:firstLineChars="0"/>
        <w:jc w:val="center"/>
        <w:rPr>
          <w:b/>
          <w:spacing w:val="200"/>
          <w:sz w:val="32"/>
        </w:rPr>
      </w:pPr>
      <w:r>
        <w:rPr>
          <w:b/>
          <w:spacing w:val="200"/>
          <w:sz w:val="32"/>
        </w:rPr>
        <w:t>目录</w:t>
      </w:r>
    </w:p>
    <w:p w14:paraId="16608118">
      <w:pPr>
        <w:pStyle w:val="29"/>
        <w:tabs>
          <w:tab w:val="left" w:pos="1050"/>
          <w:tab w:val="right" w:leader="dot" w:pos="8256"/>
        </w:tabs>
        <w:rPr>
          <w:rFonts w:ascii="Calibri" w:hAnsi="Calibri" w:cs="Times New Roman"/>
          <w:bCs w:val="0"/>
          <w:caps w:val="0"/>
          <w:szCs w:val="22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"4-5" \h \z \t "标题 1,1,标题 2,2,标题 3,3" </w:instrText>
      </w:r>
      <w:r>
        <w:rPr>
          <w:rFonts w:cs="Times New Roman"/>
        </w:rPr>
        <w:fldChar w:fldCharType="separate"/>
      </w:r>
      <w:r>
        <w:fldChar w:fldCharType="begin"/>
      </w:r>
      <w:r>
        <w:instrText xml:space="preserve"> HYPERLINK \l "_Toc101695099" </w:instrText>
      </w:r>
      <w:r>
        <w:fldChar w:fldCharType="separate"/>
      </w:r>
      <w:r>
        <w:rPr>
          <w:rStyle w:val="47"/>
        </w:rPr>
        <w:t>一、</w:t>
      </w:r>
      <w:r>
        <w:rPr>
          <w:rFonts w:ascii="Calibri" w:hAnsi="Calibri" w:cs="Times New Roman"/>
          <w:bCs w:val="0"/>
          <w:caps w:val="0"/>
          <w:szCs w:val="22"/>
        </w:rPr>
        <w:tab/>
      </w:r>
      <w:r>
        <w:rPr>
          <w:rStyle w:val="47"/>
        </w:rPr>
        <w:t>系统前期准备</w:t>
      </w:r>
      <w:r>
        <w:tab/>
      </w:r>
      <w:r>
        <w:fldChar w:fldCharType="begin"/>
      </w:r>
      <w:r>
        <w:instrText xml:space="preserve"> PAGEREF _Toc101695099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0F454512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"_Toc101695100" </w:instrText>
      </w:r>
      <w:r>
        <w:fldChar w:fldCharType="separate"/>
      </w:r>
      <w:r>
        <w:rPr>
          <w:rStyle w:val="47"/>
        </w:rPr>
        <w:t>1.1、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驱动安装说明</w:t>
      </w:r>
      <w:r>
        <w:tab/>
      </w:r>
      <w:r>
        <w:fldChar w:fldCharType="begin"/>
      </w:r>
      <w:r>
        <w:instrText xml:space="preserve"> PAGEREF _Toc101695100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F7784B9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"_Toc101695101" </w:instrText>
      </w:r>
      <w:r>
        <w:fldChar w:fldCharType="separate"/>
      </w:r>
      <w:r>
        <w:rPr>
          <w:rStyle w:val="47"/>
        </w:rPr>
        <w:t>1.1.1、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安装驱动程序</w:t>
      </w:r>
      <w:r>
        <w:tab/>
      </w:r>
      <w:r>
        <w:fldChar w:fldCharType="begin"/>
      </w:r>
      <w:r>
        <w:instrText xml:space="preserve"> PAGEREF _Toc101695101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572BAE75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"_Toc101695102" </w:instrText>
      </w:r>
      <w:r>
        <w:fldChar w:fldCharType="separate"/>
      </w:r>
      <w:r>
        <w:rPr>
          <w:rStyle w:val="47"/>
        </w:rPr>
        <w:t>1.2、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检测工具</w:t>
      </w:r>
      <w:r>
        <w:tab/>
      </w:r>
      <w:r>
        <w:fldChar w:fldCharType="begin"/>
      </w:r>
      <w:r>
        <w:instrText xml:space="preserve"> PAGEREF _Toc101695102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1D0A515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"_Toc101695103" </w:instrText>
      </w:r>
      <w:r>
        <w:fldChar w:fldCharType="separate"/>
      </w:r>
      <w:r>
        <w:rPr>
          <w:rStyle w:val="47"/>
        </w:rPr>
        <w:t>1.2.1、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启动检测工具</w:t>
      </w:r>
      <w:r>
        <w:tab/>
      </w:r>
      <w:r>
        <w:fldChar w:fldCharType="begin"/>
      </w:r>
      <w:r>
        <w:instrText xml:space="preserve"> PAGEREF _Toc101695103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C59E3A7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"_Toc101695104" </w:instrText>
      </w:r>
      <w:r>
        <w:fldChar w:fldCharType="separate"/>
      </w:r>
      <w:r>
        <w:rPr>
          <w:rStyle w:val="47"/>
        </w:rPr>
        <w:t>1.2.2、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一键检测</w:t>
      </w:r>
      <w:r>
        <w:tab/>
      </w:r>
      <w:r>
        <w:fldChar w:fldCharType="begin"/>
      </w:r>
      <w:r>
        <w:instrText xml:space="preserve"> PAGEREF _Toc101695104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1F7F7362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"_Toc101695105" </w:instrText>
      </w:r>
      <w:r>
        <w:fldChar w:fldCharType="separate"/>
      </w:r>
      <w:r>
        <w:rPr>
          <w:rStyle w:val="47"/>
        </w:rPr>
        <w:t>1.2.3、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证书显示</w:t>
      </w:r>
      <w:r>
        <w:tab/>
      </w:r>
      <w:r>
        <w:fldChar w:fldCharType="begin"/>
      </w:r>
      <w:r>
        <w:instrText xml:space="preserve"> PAGEREF _Toc101695105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77A37DC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"_Toc101695106" </w:instrText>
      </w:r>
      <w:r>
        <w:fldChar w:fldCharType="separate"/>
      </w:r>
      <w:r>
        <w:rPr>
          <w:rStyle w:val="47"/>
        </w:rPr>
        <w:t>1.2.4、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签章显示</w:t>
      </w:r>
      <w:r>
        <w:tab/>
      </w:r>
      <w:r>
        <w:fldChar w:fldCharType="begin"/>
      </w:r>
      <w:r>
        <w:instrText xml:space="preserve"> PAGEREF _Toc101695106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6BDFB25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"_Toc101695107" </w:instrText>
      </w:r>
      <w:r>
        <w:fldChar w:fldCharType="separate"/>
      </w:r>
      <w:r>
        <w:rPr>
          <w:rStyle w:val="47"/>
        </w:rPr>
        <w:t>1.3、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浏览器配置</w:t>
      </w:r>
      <w:r>
        <w:tab/>
      </w:r>
      <w:r>
        <w:fldChar w:fldCharType="begin"/>
      </w:r>
      <w:r>
        <w:instrText xml:space="preserve"> PAGEREF _Toc101695107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158769B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"_Toc101695108" </w:instrText>
      </w:r>
      <w:r>
        <w:fldChar w:fldCharType="separate"/>
      </w:r>
      <w:r>
        <w:rPr>
          <w:rStyle w:val="47"/>
        </w:rPr>
        <w:t>1.3.1、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Internet选项</w:t>
      </w:r>
      <w:r>
        <w:tab/>
      </w:r>
      <w:r>
        <w:fldChar w:fldCharType="begin"/>
      </w:r>
      <w:r>
        <w:instrText xml:space="preserve"> PAGEREF _Toc101695108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19CB130B">
      <w:pPr>
        <w:pStyle w:val="21"/>
        <w:tabs>
          <w:tab w:val="left" w:pos="1680"/>
          <w:tab w:val="right" w:leader="dot" w:pos="8256"/>
        </w:tabs>
        <w:ind w:firstLine="840"/>
        <w:rPr>
          <w:rFonts w:ascii="Calibri" w:hAnsi="Calibri" w:cs="Times New Roman"/>
          <w:iCs w:val="0"/>
          <w:szCs w:val="22"/>
        </w:rPr>
      </w:pPr>
      <w:r>
        <w:fldChar w:fldCharType="begin"/>
      </w:r>
      <w:r>
        <w:instrText xml:space="preserve"> HYPERLINK \l "_Toc101695109" </w:instrText>
      </w:r>
      <w:r>
        <w:fldChar w:fldCharType="separate"/>
      </w:r>
      <w:r>
        <w:rPr>
          <w:rStyle w:val="47"/>
        </w:rPr>
        <w:t>1.3.2、</w:t>
      </w:r>
      <w:r>
        <w:rPr>
          <w:rFonts w:ascii="Calibri" w:hAnsi="Calibri" w:cs="Times New Roman"/>
          <w:iCs w:val="0"/>
          <w:szCs w:val="22"/>
        </w:rPr>
        <w:tab/>
      </w:r>
      <w:r>
        <w:rPr>
          <w:rStyle w:val="47"/>
        </w:rPr>
        <w:t>关闭拦截工具</w:t>
      </w:r>
      <w:r>
        <w:tab/>
      </w:r>
      <w:r>
        <w:fldChar w:fldCharType="begin"/>
      </w:r>
      <w:r>
        <w:instrText xml:space="preserve"> PAGEREF _Toc101695109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1EA654B4">
      <w:pPr>
        <w:pStyle w:val="29"/>
        <w:tabs>
          <w:tab w:val="left" w:pos="1050"/>
          <w:tab w:val="right" w:leader="dot" w:pos="8256"/>
        </w:tabs>
        <w:rPr>
          <w:rFonts w:ascii="Calibri" w:hAnsi="Calibri" w:cs="Times New Roman"/>
          <w:bCs w:val="0"/>
          <w:caps w:val="0"/>
          <w:szCs w:val="22"/>
        </w:rPr>
      </w:pPr>
      <w:r>
        <w:fldChar w:fldCharType="begin"/>
      </w:r>
      <w:r>
        <w:instrText xml:space="preserve"> HYPERLINK \l "_Toc101695110" </w:instrText>
      </w:r>
      <w:r>
        <w:fldChar w:fldCharType="separate"/>
      </w:r>
      <w:r>
        <w:rPr>
          <w:rStyle w:val="47"/>
        </w:rPr>
        <w:t>二、</w:t>
      </w:r>
      <w:r>
        <w:rPr>
          <w:rFonts w:ascii="Calibri" w:hAnsi="Calibri" w:cs="Times New Roman"/>
          <w:bCs w:val="0"/>
          <w:caps w:val="0"/>
          <w:szCs w:val="22"/>
        </w:rPr>
        <w:tab/>
      </w:r>
      <w:r>
        <w:rPr>
          <w:rStyle w:val="47"/>
        </w:rPr>
        <w:t>虚拟开标大厅</w:t>
      </w:r>
      <w:r>
        <w:tab/>
      </w:r>
      <w:r>
        <w:fldChar w:fldCharType="begin"/>
      </w:r>
      <w:r>
        <w:instrText xml:space="preserve"> PAGEREF _Toc101695110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E0C50B5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"_Toc101695111" </w:instrText>
      </w:r>
      <w:r>
        <w:fldChar w:fldCharType="separate"/>
      </w:r>
      <w:r>
        <w:rPr>
          <w:rStyle w:val="47"/>
        </w:rPr>
        <w:t>2.1、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登录</w:t>
      </w:r>
      <w:r>
        <w:tab/>
      </w:r>
      <w:r>
        <w:fldChar w:fldCharType="begin"/>
      </w:r>
      <w:r>
        <w:instrText xml:space="preserve"> PAGEREF _Toc101695111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9812F5B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"_Toc101695112" </w:instrText>
      </w:r>
      <w:r>
        <w:fldChar w:fldCharType="separate"/>
      </w:r>
      <w:r>
        <w:rPr>
          <w:rStyle w:val="47"/>
        </w:rPr>
        <w:t>2.2、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项目列表页面</w:t>
      </w:r>
      <w:r>
        <w:tab/>
      </w:r>
      <w:r>
        <w:fldChar w:fldCharType="begin"/>
      </w:r>
      <w:r>
        <w:instrText xml:space="preserve"> PAGEREF _Toc101695112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1C029CCA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"_Toc101695113" </w:instrText>
      </w:r>
      <w:r>
        <w:fldChar w:fldCharType="separate"/>
      </w:r>
      <w:r>
        <w:rPr>
          <w:rStyle w:val="47"/>
        </w:rPr>
        <w:t>2.3、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进入开标大厅</w:t>
      </w:r>
      <w:r>
        <w:tab/>
      </w:r>
      <w:r>
        <w:fldChar w:fldCharType="begin"/>
      </w:r>
      <w:r>
        <w:instrText xml:space="preserve"> PAGEREF _Toc101695113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2B45A5FC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"_Toc101695114" </w:instrText>
      </w:r>
      <w:r>
        <w:fldChar w:fldCharType="separate"/>
      </w:r>
      <w:r>
        <w:rPr>
          <w:rStyle w:val="47"/>
        </w:rPr>
        <w:t>2.4、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等待开标</w:t>
      </w:r>
      <w:r>
        <w:tab/>
      </w:r>
      <w:r>
        <w:fldChar w:fldCharType="begin"/>
      </w:r>
      <w:r>
        <w:instrText xml:space="preserve"> PAGEREF _Toc101695114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29FD7BA8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"_Toc101695115" </w:instrText>
      </w:r>
      <w:r>
        <w:fldChar w:fldCharType="separate"/>
      </w:r>
      <w:r>
        <w:rPr>
          <w:rStyle w:val="47"/>
        </w:rPr>
        <w:t>2.5、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查看投标人</w:t>
      </w:r>
      <w:r>
        <w:tab/>
      </w:r>
      <w:r>
        <w:fldChar w:fldCharType="begin"/>
      </w:r>
      <w:r>
        <w:instrText xml:space="preserve"> PAGEREF _Toc101695115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7C7D9DF7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"_Toc101695116" </w:instrText>
      </w:r>
      <w:r>
        <w:fldChar w:fldCharType="separate"/>
      </w:r>
      <w:r>
        <w:rPr>
          <w:rStyle w:val="47"/>
        </w:rPr>
        <w:t>2.6、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标书解密</w:t>
      </w:r>
      <w:r>
        <w:tab/>
      </w:r>
      <w:r>
        <w:fldChar w:fldCharType="begin"/>
      </w:r>
      <w:r>
        <w:instrText xml:space="preserve"> PAGEREF _Toc101695116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A2206EF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"_Toc101695117" </w:instrText>
      </w:r>
      <w:r>
        <w:fldChar w:fldCharType="separate"/>
      </w:r>
      <w:r>
        <w:rPr>
          <w:rStyle w:val="47"/>
        </w:rPr>
        <w:t>2.7、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批量导入</w:t>
      </w:r>
      <w:r>
        <w:tab/>
      </w:r>
      <w:r>
        <w:fldChar w:fldCharType="begin"/>
      </w:r>
      <w:r>
        <w:instrText xml:space="preserve"> PAGEREF _Toc101695117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067108EC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"_Toc101695118" </w:instrText>
      </w:r>
      <w:r>
        <w:fldChar w:fldCharType="separate"/>
      </w:r>
      <w:r>
        <w:rPr>
          <w:rStyle w:val="47"/>
        </w:rPr>
        <w:t>2.8、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参数抽取</w:t>
      </w:r>
      <w:r>
        <w:tab/>
      </w:r>
      <w:r>
        <w:fldChar w:fldCharType="begin"/>
      </w:r>
      <w:r>
        <w:instrText xml:space="preserve"> PAGEREF _Toc101695118 \h 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396FF038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"_Toc101695119" </w:instrText>
      </w:r>
      <w:r>
        <w:fldChar w:fldCharType="separate"/>
      </w:r>
      <w:r>
        <w:rPr>
          <w:rStyle w:val="47"/>
        </w:rPr>
        <w:t>2.9、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唱标</w:t>
      </w:r>
      <w:r>
        <w:tab/>
      </w:r>
      <w:r>
        <w:fldChar w:fldCharType="begin"/>
      </w:r>
      <w:r>
        <w:instrText xml:space="preserve"> PAGEREF _Toc101695119 \h 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165F6DD0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"_Toc101695120" </w:instrText>
      </w:r>
      <w:r>
        <w:fldChar w:fldCharType="separate"/>
      </w:r>
      <w:r>
        <w:rPr>
          <w:rStyle w:val="47"/>
        </w:rPr>
        <w:t>2.10、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开标结束</w:t>
      </w:r>
      <w:r>
        <w:tab/>
      </w:r>
      <w:r>
        <w:fldChar w:fldCharType="begin"/>
      </w:r>
      <w:r>
        <w:instrText xml:space="preserve"> PAGEREF _Toc101695120 \h 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66047364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"_Toc101695121" </w:instrText>
      </w:r>
      <w:r>
        <w:fldChar w:fldCharType="separate"/>
      </w:r>
      <w:r>
        <w:rPr>
          <w:rStyle w:val="47"/>
        </w:rPr>
        <w:t>2.11、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语音异议</w:t>
      </w:r>
      <w:r>
        <w:tab/>
      </w:r>
      <w:r>
        <w:fldChar w:fldCharType="begin"/>
      </w:r>
      <w:r>
        <w:instrText xml:space="preserve"> PAGEREF _Toc101695121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53CBB152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"_Toc101695122" </w:instrText>
      </w:r>
      <w:r>
        <w:fldChar w:fldCharType="separate"/>
      </w:r>
      <w:r>
        <w:rPr>
          <w:rStyle w:val="47"/>
        </w:rPr>
        <w:t>2.12、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文字异议</w:t>
      </w:r>
      <w:r>
        <w:tab/>
      </w:r>
      <w:r>
        <w:fldChar w:fldCharType="begin"/>
      </w:r>
      <w:r>
        <w:instrText xml:space="preserve"> PAGEREF _Toc101695122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485E8981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"_Toc101695123" </w:instrText>
      </w:r>
      <w:r>
        <w:fldChar w:fldCharType="separate"/>
      </w:r>
      <w:r>
        <w:rPr>
          <w:rStyle w:val="47"/>
        </w:rPr>
        <w:t>2.13、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终止开标</w:t>
      </w:r>
      <w:r>
        <w:tab/>
      </w:r>
      <w:r>
        <w:fldChar w:fldCharType="begin"/>
      </w:r>
      <w:r>
        <w:instrText xml:space="preserve"> PAGEREF _Toc101695123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6DCDF739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"_Toc101695124" </w:instrText>
      </w:r>
      <w:r>
        <w:fldChar w:fldCharType="separate"/>
      </w:r>
      <w:r>
        <w:rPr>
          <w:rStyle w:val="47"/>
        </w:rPr>
        <w:t>2.14、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公告栏</w:t>
      </w:r>
      <w:r>
        <w:tab/>
      </w:r>
      <w:r>
        <w:fldChar w:fldCharType="begin"/>
      </w:r>
      <w:r>
        <w:instrText xml:space="preserve"> PAGEREF _Toc101695124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11922BFD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"_Toc101695125" </w:instrText>
      </w:r>
      <w:r>
        <w:fldChar w:fldCharType="separate"/>
      </w:r>
      <w:r>
        <w:rPr>
          <w:rStyle w:val="47"/>
        </w:rPr>
        <w:t>2.15、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群聊</w:t>
      </w:r>
      <w:r>
        <w:tab/>
      </w:r>
      <w:r>
        <w:fldChar w:fldCharType="begin"/>
      </w:r>
      <w:r>
        <w:instrText xml:space="preserve"> PAGEREF _Toc101695125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2FAE3A24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"_Toc101695126" </w:instrText>
      </w:r>
      <w:r>
        <w:fldChar w:fldCharType="separate"/>
      </w:r>
      <w:r>
        <w:rPr>
          <w:rStyle w:val="47"/>
        </w:rPr>
        <w:t>2.16、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开标小组聊天</w:t>
      </w:r>
      <w:r>
        <w:tab/>
      </w:r>
      <w:r>
        <w:fldChar w:fldCharType="begin"/>
      </w:r>
      <w:r>
        <w:instrText xml:space="preserve"> PAGEREF _Toc101695126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49F93784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"_Toc101695127" </w:instrText>
      </w:r>
      <w:r>
        <w:fldChar w:fldCharType="separate"/>
      </w:r>
      <w:r>
        <w:rPr>
          <w:rStyle w:val="47"/>
        </w:rPr>
        <w:t>2.17、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直播</w:t>
      </w:r>
      <w:r>
        <w:tab/>
      </w:r>
      <w:r>
        <w:fldChar w:fldCharType="begin"/>
      </w:r>
      <w:r>
        <w:instrText xml:space="preserve"> PAGEREF _Toc101695127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8D3A4E2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"_Toc101695128" </w:instrText>
      </w:r>
      <w:r>
        <w:fldChar w:fldCharType="separate"/>
      </w:r>
      <w:r>
        <w:rPr>
          <w:rStyle w:val="47"/>
        </w:rPr>
        <w:t>2.18、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流程回看</w:t>
      </w:r>
      <w:r>
        <w:tab/>
      </w:r>
      <w:r>
        <w:fldChar w:fldCharType="begin"/>
      </w:r>
      <w:r>
        <w:instrText xml:space="preserve"> PAGEREF _Toc101695128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A695B73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"_Toc101695129" </w:instrText>
      </w:r>
      <w:r>
        <w:fldChar w:fldCharType="separate"/>
      </w:r>
      <w:r>
        <w:rPr>
          <w:rStyle w:val="47"/>
        </w:rPr>
        <w:t>2.19、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私聊</w:t>
      </w:r>
      <w:r>
        <w:tab/>
      </w:r>
      <w:r>
        <w:fldChar w:fldCharType="begin"/>
      </w:r>
      <w:r>
        <w:instrText xml:space="preserve"> PAGEREF _Toc101695129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6E6339A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"_Toc101695130" </w:instrText>
      </w:r>
      <w:r>
        <w:fldChar w:fldCharType="separate"/>
      </w:r>
      <w:r>
        <w:rPr>
          <w:rStyle w:val="47"/>
        </w:rPr>
        <w:t>2.20、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人员列表</w:t>
      </w:r>
      <w:r>
        <w:tab/>
      </w:r>
      <w:r>
        <w:fldChar w:fldCharType="begin"/>
      </w:r>
      <w:r>
        <w:instrText xml:space="preserve"> PAGEREF _Toc101695130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28567935">
      <w:pPr>
        <w:pStyle w:val="35"/>
        <w:tabs>
          <w:tab w:val="left" w:pos="1260"/>
          <w:tab w:val="right" w:leader="dot" w:pos="8256"/>
        </w:tabs>
        <w:ind w:firstLine="420"/>
        <w:rPr>
          <w:rFonts w:ascii="Calibri" w:hAnsi="Calibri" w:cs="Times New Roman"/>
          <w:smallCaps w:val="0"/>
          <w:szCs w:val="22"/>
        </w:rPr>
      </w:pPr>
      <w:r>
        <w:fldChar w:fldCharType="begin"/>
      </w:r>
      <w:r>
        <w:instrText xml:space="preserve"> HYPERLINK \l "_Toc101695131" </w:instrText>
      </w:r>
      <w:r>
        <w:fldChar w:fldCharType="separate"/>
      </w:r>
      <w:r>
        <w:rPr>
          <w:rStyle w:val="47"/>
        </w:rPr>
        <w:t>2.21、</w:t>
      </w:r>
      <w:r>
        <w:rPr>
          <w:rFonts w:ascii="Calibri" w:hAnsi="Calibri" w:cs="Times New Roman"/>
          <w:smallCaps w:val="0"/>
          <w:szCs w:val="22"/>
        </w:rPr>
        <w:tab/>
      </w:r>
      <w:r>
        <w:rPr>
          <w:rStyle w:val="47"/>
        </w:rPr>
        <w:t>虚拟主持人</w:t>
      </w:r>
      <w:r>
        <w:tab/>
      </w:r>
      <w:r>
        <w:fldChar w:fldCharType="begin"/>
      </w:r>
      <w:r>
        <w:instrText xml:space="preserve"> PAGEREF _Toc101695131 \h 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0957BF51">
      <w:pPr>
        <w:pStyle w:val="61"/>
        <w:spacing w:line="240" w:lineRule="auto"/>
        <w:ind w:firstLine="360"/>
      </w:pPr>
      <w:r>
        <w:rPr>
          <w:szCs w:val="20"/>
        </w:rPr>
        <w:fldChar w:fldCharType="end"/>
      </w:r>
    </w:p>
    <w:p w14:paraId="065345F8">
      <w:pPr>
        <w:ind w:firstLine="422"/>
        <w:rPr>
          <w:b/>
        </w:rPr>
      </w:pPr>
    </w:p>
    <w:p w14:paraId="6861D96D">
      <w:pPr>
        <w:pStyle w:val="2"/>
        <w:ind w:firstLine="420"/>
      </w:pPr>
    </w:p>
    <w:p w14:paraId="4AE2C196">
      <w:pPr>
        <w:pStyle w:val="3"/>
      </w:pPr>
      <w:bookmarkStart w:id="0" w:name="_Toc404243487"/>
      <w:bookmarkStart w:id="1" w:name="_Toc346183627"/>
      <w:bookmarkStart w:id="2" w:name="_Toc404764406"/>
      <w:bookmarkStart w:id="3" w:name="_Toc346701609"/>
      <w:bookmarkStart w:id="4" w:name="_Toc101695099"/>
      <w:bookmarkStart w:id="5" w:name="_Toc404765182"/>
      <w:r>
        <w:t>系统前期准备</w:t>
      </w:r>
      <w:bookmarkEnd w:id="0"/>
      <w:bookmarkEnd w:id="1"/>
      <w:bookmarkEnd w:id="2"/>
      <w:bookmarkEnd w:id="3"/>
      <w:bookmarkEnd w:id="4"/>
      <w:bookmarkEnd w:id="5"/>
    </w:p>
    <w:p w14:paraId="78297167">
      <w:pPr>
        <w:pStyle w:val="4"/>
      </w:pPr>
      <w:bookmarkStart w:id="6" w:name="_Toc346701610"/>
      <w:bookmarkStart w:id="7" w:name="_Toc404764407"/>
      <w:bookmarkStart w:id="8" w:name="_Toc346183628"/>
      <w:bookmarkStart w:id="9" w:name="_Toc404243488"/>
      <w:bookmarkStart w:id="10" w:name="_Toc101695100"/>
      <w:bookmarkStart w:id="11" w:name="_Toc404765183"/>
      <w:r>
        <w:t>驱动安装说明</w:t>
      </w:r>
      <w:bookmarkEnd w:id="6"/>
      <w:bookmarkEnd w:id="7"/>
      <w:bookmarkEnd w:id="8"/>
      <w:bookmarkEnd w:id="9"/>
      <w:bookmarkEnd w:id="10"/>
      <w:bookmarkEnd w:id="11"/>
    </w:p>
    <w:p w14:paraId="68F07B6B">
      <w:pPr>
        <w:pStyle w:val="5"/>
      </w:pPr>
      <w:bookmarkStart w:id="12" w:name="_Toc404243489"/>
      <w:bookmarkStart w:id="13" w:name="_Toc404764408"/>
      <w:bookmarkStart w:id="14" w:name="_Toc101695101"/>
      <w:bookmarkStart w:id="15" w:name="_Toc346183629"/>
      <w:bookmarkStart w:id="16" w:name="_Toc346701611"/>
      <w:bookmarkStart w:id="17" w:name="_Toc404765184"/>
      <w:r>
        <w:t>安装驱动程序</w:t>
      </w:r>
      <w:bookmarkEnd w:id="12"/>
      <w:bookmarkEnd w:id="13"/>
      <w:bookmarkEnd w:id="14"/>
      <w:bookmarkEnd w:id="15"/>
      <w:bookmarkEnd w:id="16"/>
      <w:bookmarkEnd w:id="17"/>
    </w:p>
    <w:p w14:paraId="6CBBB393">
      <w:pPr>
        <w:numPr>
          <w:ilvl w:val="0"/>
          <w:numId w:val="2"/>
        </w:numPr>
        <w:ind w:firstLineChars="0"/>
      </w:pPr>
      <w:r>
        <w:rPr>
          <w:rFonts w:hint="eastAsia"/>
        </w:rPr>
        <w:t>IE浏览器中打开克拉玛依公共资源交易网，进入服务指南下载中心下载“新疆克拉玛依公共资源交易平台驱动”</w:t>
      </w:r>
    </w:p>
    <w:p w14:paraId="072B0E19">
      <w:pPr>
        <w:pStyle w:val="2"/>
        <w:ind w:firstLine="420"/>
      </w:pPr>
      <w:r>
        <w:drawing>
          <wp:inline distT="0" distB="0" distL="114300" distR="114300">
            <wp:extent cx="5247640" cy="3633470"/>
            <wp:effectExtent l="0" t="0" r="1016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96A91">
      <w:pPr>
        <w:pStyle w:val="2"/>
        <w:ind w:firstLine="420"/>
      </w:pPr>
    </w:p>
    <w:p w14:paraId="4F24AEA7">
      <w:pPr>
        <w:numPr>
          <w:ilvl w:val="0"/>
          <w:numId w:val="3"/>
        </w:numPr>
        <w:jc w:val="center"/>
        <w:rPr>
          <w:b/>
          <w:spacing w:val="4"/>
        </w:rPr>
      </w:pPr>
      <w:r>
        <w:rPr>
          <w:rFonts w:hint="eastAsia"/>
        </w:rPr>
        <w:t>右击以管理员身份运行，可自行选择安装路径，选择之后点击“快速安装”</w:t>
      </w:r>
    </w:p>
    <w:p w14:paraId="0E671821">
      <w:r>
        <w:t>3、</w:t>
      </w:r>
      <w:r>
        <w:rPr>
          <w:rFonts w:hint="eastAsia"/>
        </w:rPr>
        <w:t>安装的时候，如果IE程序正在运行，关闭IE</w:t>
      </w:r>
      <w:r>
        <w:t>，</w:t>
      </w:r>
      <w:r>
        <w:rPr>
          <w:rFonts w:hint="eastAsia"/>
        </w:rPr>
        <w:t>关闭IE之后，将继续安装，</w:t>
      </w:r>
    </w:p>
    <w:p w14:paraId="24155A2B">
      <w:r>
        <w:rPr>
          <w:rFonts w:hint="eastAsia"/>
        </w:rPr>
        <w:t>4</w:t>
      </w:r>
      <w:r>
        <w:t>、</w:t>
      </w:r>
      <w:r>
        <w:rPr>
          <w:rFonts w:hint="eastAsia"/>
        </w:rPr>
        <w:t>安装完成之后，点击“完成”即可</w:t>
      </w:r>
      <w:r>
        <w:t xml:space="preserve"> </w:t>
      </w:r>
    </w:p>
    <w:p w14:paraId="6230F597">
      <w:pPr>
        <w:ind w:firstLine="436"/>
        <w:jc w:val="center"/>
        <w:rPr>
          <w:spacing w:val="4"/>
        </w:rPr>
      </w:pPr>
    </w:p>
    <w:p w14:paraId="47943E01">
      <w:r>
        <w:rPr>
          <w:rFonts w:hint="eastAsia"/>
        </w:rPr>
        <w:t>5</w:t>
      </w:r>
      <w:r>
        <w:t>、</w:t>
      </w:r>
      <w:r>
        <w:rPr>
          <w:rFonts w:hint="eastAsia"/>
        </w:rPr>
        <w:t>安装完成之后，桌面会出现</w:t>
      </w:r>
      <w:r>
        <w:t>如下图</w:t>
      </w:r>
      <w:r>
        <w:rPr>
          <w:rFonts w:hint="eastAsia"/>
        </w:rPr>
        <w:t>标</w:t>
      </w:r>
      <w:r>
        <w:t>：</w:t>
      </w:r>
      <w:r>
        <w:drawing>
          <wp:inline distT="0" distB="0" distL="114300" distR="114300">
            <wp:extent cx="1105535" cy="1002030"/>
            <wp:effectExtent l="0" t="0" r="1841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B799E">
      <w:pPr>
        <w:pStyle w:val="4"/>
      </w:pPr>
      <w:bookmarkStart w:id="18" w:name="_Toc404243493"/>
      <w:bookmarkStart w:id="19" w:name="_Toc101695102"/>
      <w:bookmarkStart w:id="20" w:name="_Toc404765188"/>
      <w:bookmarkStart w:id="21" w:name="_Toc404764412"/>
      <w:bookmarkStart w:id="22" w:name="_Toc346183633"/>
      <w:bookmarkStart w:id="23" w:name="_Toc346701615"/>
      <w:r>
        <w:t>检测工具</w:t>
      </w:r>
      <w:bookmarkEnd w:id="18"/>
      <w:bookmarkEnd w:id="19"/>
      <w:bookmarkEnd w:id="20"/>
      <w:bookmarkEnd w:id="21"/>
      <w:bookmarkEnd w:id="22"/>
      <w:bookmarkEnd w:id="23"/>
    </w:p>
    <w:p w14:paraId="4215604A">
      <w:pPr>
        <w:pStyle w:val="5"/>
        <w:widowControl/>
        <w:tabs>
          <w:tab w:val="clear" w:pos="567"/>
        </w:tabs>
      </w:pPr>
      <w:bookmarkStart w:id="24" w:name="_Toc101695103"/>
      <w:bookmarkStart w:id="25" w:name="_Toc404243494"/>
      <w:bookmarkStart w:id="26" w:name="_Toc346183634"/>
      <w:bookmarkStart w:id="27" w:name="_Toc404765189"/>
      <w:bookmarkStart w:id="28" w:name="_Toc346701616"/>
      <w:bookmarkStart w:id="29" w:name="_Toc404764413"/>
      <w:r>
        <w:t>启动检测工具</w:t>
      </w:r>
      <w:bookmarkEnd w:id="24"/>
      <w:bookmarkEnd w:id="25"/>
      <w:bookmarkEnd w:id="26"/>
      <w:bookmarkEnd w:id="27"/>
      <w:bookmarkEnd w:id="28"/>
      <w:bookmarkEnd w:id="29"/>
    </w:p>
    <w:p w14:paraId="491BD212">
      <w:r>
        <w:t>用户可以点击桌面上的</w:t>
      </w:r>
      <w:r>
        <w:rPr>
          <w:rFonts w:hint="eastAsia"/>
        </w:rPr>
        <w:t>开标大厅</w:t>
      </w:r>
      <w:r>
        <w:t>检测工具图标来启动检测工具，如下图：</w:t>
      </w:r>
    </w:p>
    <w:p w14:paraId="4B56D88D">
      <w:pPr>
        <w:pStyle w:val="61"/>
        <w:ind w:firstLine="480" w:firstLineChars="200"/>
        <w:jc w:val="center"/>
        <w:rPr>
          <w:b/>
          <w:spacing w:val="4"/>
        </w:rPr>
      </w:pPr>
      <w:r>
        <w:drawing>
          <wp:inline distT="0" distB="0" distL="114300" distR="114300">
            <wp:extent cx="1105535" cy="1002030"/>
            <wp:effectExtent l="0" t="0" r="18415" b="7620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7528">
      <w:pPr>
        <w:pStyle w:val="61"/>
        <w:ind w:firstLine="498" w:firstLineChars="200"/>
        <w:rPr>
          <w:b/>
          <w:spacing w:val="4"/>
        </w:rPr>
      </w:pPr>
    </w:p>
    <w:p w14:paraId="6EA17ADC">
      <w:pPr>
        <w:pStyle w:val="5"/>
        <w:widowControl/>
        <w:tabs>
          <w:tab w:val="clear" w:pos="567"/>
        </w:tabs>
      </w:pPr>
      <w:bookmarkStart w:id="30" w:name="_Toc404243495"/>
      <w:bookmarkStart w:id="31" w:name="_Toc346183635"/>
      <w:bookmarkStart w:id="32" w:name="_Toc404765190"/>
      <w:bookmarkStart w:id="33" w:name="_Toc404764414"/>
      <w:bookmarkStart w:id="34" w:name="_Toc346701617"/>
      <w:bookmarkStart w:id="35" w:name="_Toc101695104"/>
      <w:r>
        <w:rPr>
          <w:rFonts w:hint="eastAsia"/>
        </w:rPr>
        <w:t>一键</w:t>
      </w:r>
      <w:r>
        <w:t>检测</w:t>
      </w:r>
      <w:bookmarkEnd w:id="30"/>
      <w:bookmarkEnd w:id="31"/>
      <w:bookmarkEnd w:id="32"/>
      <w:bookmarkEnd w:id="33"/>
      <w:bookmarkEnd w:id="34"/>
      <w:bookmarkEnd w:id="35"/>
    </w:p>
    <w:p w14:paraId="43F34960">
      <w:pPr>
        <w:ind w:firstLine="436"/>
        <w:rPr>
          <w:spacing w:val="4"/>
        </w:rPr>
      </w:pPr>
      <w:r>
        <w:rPr>
          <w:rFonts w:hint="eastAsia"/>
          <w:spacing w:val="4"/>
        </w:rPr>
        <w:t>打开页面之后，插锁，点击“立即检测”</w:t>
      </w:r>
      <w:r>
        <w:rPr>
          <w:spacing w:val="4"/>
        </w:rPr>
        <w:t>。</w:t>
      </w:r>
    </w:p>
    <w:p w14:paraId="6752C0AA">
      <w:pPr>
        <w:pStyle w:val="61"/>
        <w:ind w:firstLine="0" w:firstLineChars="0"/>
        <w:jc w:val="center"/>
        <w:rPr>
          <w:b/>
          <w:spacing w:val="4"/>
        </w:rPr>
      </w:pPr>
      <w:r>
        <w:drawing>
          <wp:inline distT="0" distB="0" distL="114300" distR="114300">
            <wp:extent cx="5760085" cy="3635375"/>
            <wp:effectExtent l="0" t="0" r="12065" b="3175"/>
            <wp:docPr id="90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1CF6">
      <w:pPr>
        <w:ind w:firstLine="436"/>
        <w:rPr>
          <w:spacing w:val="4"/>
        </w:rPr>
      </w:pPr>
    </w:p>
    <w:p w14:paraId="2181F617">
      <w:pPr>
        <w:pStyle w:val="5"/>
        <w:widowControl/>
        <w:tabs>
          <w:tab w:val="clear" w:pos="567"/>
        </w:tabs>
      </w:pPr>
      <w:bookmarkStart w:id="36" w:name="_Toc346701619"/>
      <w:bookmarkStart w:id="37" w:name="_Toc404764416"/>
      <w:bookmarkStart w:id="38" w:name="_Toc404765192"/>
      <w:bookmarkStart w:id="39" w:name="_Toc404243497"/>
      <w:bookmarkStart w:id="40" w:name="_Toc346183637"/>
      <w:bookmarkStart w:id="41" w:name="_Toc101695105"/>
      <w:r>
        <w:t>证书</w:t>
      </w:r>
      <w:bookmarkEnd w:id="36"/>
      <w:bookmarkEnd w:id="37"/>
      <w:bookmarkEnd w:id="38"/>
      <w:bookmarkEnd w:id="39"/>
      <w:bookmarkEnd w:id="40"/>
      <w:r>
        <w:rPr>
          <w:rFonts w:hint="eastAsia"/>
        </w:rPr>
        <w:t>显示</w:t>
      </w:r>
      <w:bookmarkEnd w:id="41"/>
    </w:p>
    <w:p w14:paraId="11CA996A">
      <w:r>
        <w:rPr>
          <w:rFonts w:hint="eastAsia"/>
        </w:rPr>
        <w:t>用户可以插锁，</w:t>
      </w:r>
      <w:r>
        <w:t>选择证书，输入Pin码，可以检测该证书Key是否可以正常使用</w:t>
      </w:r>
      <w:r>
        <w:rPr>
          <w:rFonts w:hint="eastAsia"/>
        </w:rPr>
        <w:t>。</w:t>
      </w:r>
    </w:p>
    <w:p w14:paraId="40897128">
      <w:r>
        <w:t>如果出现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证书状态正常</w:t>
      </w:r>
      <w:r>
        <w:rPr>
          <w:rFonts w:hint="eastAsia"/>
          <w:lang w:eastAsia="zh-CN"/>
        </w:rPr>
        <w:t>”</w:t>
      </w:r>
      <w:r>
        <w:t>提示，则表示您的证书Key是可以正常使用的，</w:t>
      </w:r>
    </w:p>
    <w:p w14:paraId="73C6ECDC">
      <w:r>
        <w:t>如果出现</w:t>
      </w:r>
      <w:r>
        <w:rPr>
          <w:rFonts w:hint="eastAsia"/>
        </w:rPr>
        <w:t>其他异常提示</w:t>
      </w:r>
      <w:r>
        <w:t>，则出错的原因可能是您的证书Key驱动没有装好或者是证书Key是无法使用的，需重新安装证书Key驱动，或者马上联系该项目CA进行更换</w:t>
      </w:r>
      <w:r>
        <w:rPr>
          <w:rFonts w:hint="eastAsia"/>
        </w:rPr>
        <w:t>；</w:t>
      </w:r>
    </w:p>
    <w:p w14:paraId="3179B241">
      <w:pPr>
        <w:pStyle w:val="2"/>
        <w:ind w:firstLine="420"/>
      </w:pPr>
    </w:p>
    <w:p w14:paraId="24B824AF">
      <w:pPr>
        <w:ind w:firstLine="436"/>
        <w:jc w:val="center"/>
        <w:rPr>
          <w:spacing w:val="4"/>
        </w:rPr>
      </w:pPr>
    </w:p>
    <w:p w14:paraId="47640279">
      <w:pPr>
        <w:ind w:firstLine="436"/>
        <w:jc w:val="center"/>
        <w:rPr>
          <w:spacing w:val="4"/>
        </w:rPr>
      </w:pPr>
    </w:p>
    <w:p w14:paraId="62BFBEEF">
      <w:pPr>
        <w:pStyle w:val="5"/>
        <w:widowControl/>
        <w:tabs>
          <w:tab w:val="clear" w:pos="567"/>
        </w:tabs>
      </w:pPr>
      <w:bookmarkStart w:id="42" w:name="_Toc346701620"/>
      <w:bookmarkStart w:id="43" w:name="_Toc404764417"/>
      <w:bookmarkStart w:id="44" w:name="_Toc346183638"/>
      <w:bookmarkStart w:id="45" w:name="_Toc404765193"/>
      <w:bookmarkStart w:id="46" w:name="_Toc404243498"/>
      <w:bookmarkStart w:id="47" w:name="_Toc101695106"/>
      <w:r>
        <w:t>签章</w:t>
      </w:r>
      <w:bookmarkEnd w:id="42"/>
      <w:bookmarkEnd w:id="43"/>
      <w:bookmarkEnd w:id="44"/>
      <w:bookmarkEnd w:id="45"/>
      <w:bookmarkEnd w:id="46"/>
      <w:r>
        <w:rPr>
          <w:rFonts w:hint="eastAsia"/>
        </w:rPr>
        <w:t>显示</w:t>
      </w:r>
      <w:bookmarkEnd w:id="47"/>
    </w:p>
    <w:p w14:paraId="710CD500">
      <w:pPr>
        <w:jc w:val="center"/>
      </w:pPr>
      <w:r>
        <w:drawing>
          <wp:inline distT="0" distB="0" distL="114300" distR="114300">
            <wp:extent cx="5243830" cy="3288030"/>
            <wp:effectExtent l="0" t="0" r="13970" b="7620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28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5CB6">
      <w:pPr>
        <w:rPr>
          <w:spacing w:val="4"/>
        </w:rPr>
      </w:pPr>
      <w:r>
        <w:t>此页面是用于测试证书Key是否可以正常盖章，请点击</w:t>
      </w:r>
      <w:r>
        <w:drawing>
          <wp:inline distT="0" distB="0" distL="114300" distR="114300">
            <wp:extent cx="369570" cy="409575"/>
            <wp:effectExtent l="0" t="0" r="11430" b="9525"/>
            <wp:docPr id="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"/>
        </w:rPr>
        <w:t>，</w:t>
      </w:r>
      <w:r>
        <w:t>在出现的窗口中，选择签章的名称和签章的模式，并输入您的证书Key的密码，点击确定按钮，如下图：</w:t>
      </w:r>
    </w:p>
    <w:p w14:paraId="03756167">
      <w:pPr>
        <w:pStyle w:val="61"/>
        <w:ind w:firstLine="480" w:firstLineChars="200"/>
        <w:jc w:val="both"/>
        <w:rPr>
          <w:spacing w:val="4"/>
          <w:sz w:val="21"/>
        </w:rPr>
      </w:pPr>
      <w:r>
        <w:drawing>
          <wp:inline distT="0" distB="0" distL="114300" distR="114300">
            <wp:extent cx="3232150" cy="4380865"/>
            <wp:effectExtent l="0" t="0" r="6350" b="63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5122">
      <w:r>
        <w:t>如果能成功加盖印章，并且有勾显示，则证明您的证书Key没有问题，如下图：</w:t>
      </w:r>
    </w:p>
    <w:p w14:paraId="5E035F57">
      <w:pPr>
        <w:pStyle w:val="61"/>
        <w:ind w:firstLine="480" w:firstLineChars="200"/>
        <w:jc w:val="center"/>
        <w:rPr>
          <w:spacing w:val="4"/>
          <w:sz w:val="21"/>
        </w:rPr>
      </w:pPr>
      <w:r>
        <w:drawing>
          <wp:inline distT="0" distB="0" distL="114300" distR="114300">
            <wp:extent cx="5243830" cy="3279775"/>
            <wp:effectExtent l="0" t="0" r="13970" b="15875"/>
            <wp:docPr id="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6C37">
      <w:r>
        <w:t>如果出现其他的提示，请及时和该项目CA联系。</w:t>
      </w:r>
    </w:p>
    <w:p w14:paraId="7ADD4B20">
      <w:pPr>
        <w:pStyle w:val="4"/>
      </w:pPr>
      <w:bookmarkStart w:id="48" w:name="_Toc404243499"/>
      <w:bookmarkStart w:id="49" w:name="_Toc404765194"/>
      <w:bookmarkStart w:id="50" w:name="_Toc404764418"/>
      <w:bookmarkStart w:id="51" w:name="_Toc346701621"/>
      <w:bookmarkStart w:id="52" w:name="_Toc101695107"/>
      <w:bookmarkStart w:id="53" w:name="_Toc346183639"/>
      <w:r>
        <w:t>浏览器配置</w:t>
      </w:r>
      <w:bookmarkEnd w:id="48"/>
      <w:bookmarkEnd w:id="49"/>
      <w:bookmarkEnd w:id="50"/>
      <w:bookmarkEnd w:id="51"/>
      <w:bookmarkEnd w:id="52"/>
      <w:bookmarkEnd w:id="53"/>
    </w:p>
    <w:p w14:paraId="1697FFF7">
      <w:pPr>
        <w:pStyle w:val="5"/>
        <w:widowControl/>
        <w:tabs>
          <w:tab w:val="clear" w:pos="567"/>
        </w:tabs>
      </w:pPr>
      <w:bookmarkStart w:id="54" w:name="_Toc346183640"/>
      <w:bookmarkStart w:id="55" w:name="_Toc346701622"/>
      <w:bookmarkStart w:id="56" w:name="_Toc101695108"/>
      <w:bookmarkStart w:id="57" w:name="_Toc404765195"/>
      <w:bookmarkStart w:id="58" w:name="_Toc404243500"/>
      <w:bookmarkStart w:id="59" w:name="_Toc404764419"/>
      <w:r>
        <w:t>Internet选项</w:t>
      </w:r>
      <w:bookmarkEnd w:id="54"/>
      <w:bookmarkEnd w:id="55"/>
      <w:bookmarkEnd w:id="56"/>
      <w:bookmarkEnd w:id="57"/>
      <w:bookmarkEnd w:id="58"/>
      <w:bookmarkEnd w:id="59"/>
    </w:p>
    <w:p w14:paraId="60436B97">
      <w:r>
        <w:t>为了让系统插件能够正常工作，请按照以下步骤进行浏览器的配置。</w:t>
      </w:r>
    </w:p>
    <w:p w14:paraId="158356ED">
      <w:r>
        <w:t>1、打开浏览器，在“工具”菜单→“Internet选项”，如下图：</w:t>
      </w:r>
    </w:p>
    <w:p w14:paraId="6AAA781E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562350" cy="3152775"/>
            <wp:effectExtent l="0" t="0" r="0" b="9525"/>
            <wp:docPr id="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F15AE">
      <w:r>
        <w:t>2、弹出对话框之后，请选择“安全”选项卡，具体的界面，如下图：</w:t>
      </w:r>
    </w:p>
    <w:p w14:paraId="2B7F7493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2914015" cy="3474720"/>
            <wp:effectExtent l="0" t="0" r="635" b="11430"/>
            <wp:docPr id="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8065D">
      <w:r>
        <w:t>3、点击绿色的“受信任的站点”的图片，如下图：</w:t>
      </w:r>
    </w:p>
    <w:p w14:paraId="70090B41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649345" cy="3896360"/>
            <wp:effectExtent l="0" t="0" r="8255" b="8890"/>
            <wp:docPr id="1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1A4EA">
      <w:r>
        <w:t>4、点击“站点”按钮，出现如下对话框，如下图：</w:t>
      </w:r>
    </w:p>
    <w:p w14:paraId="282078DB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749040" cy="3049270"/>
            <wp:effectExtent l="0" t="0" r="3810" b="17780"/>
            <wp:docPr id="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26DB">
      <w:pPr>
        <w:rPr>
          <w:spacing w:val="4"/>
        </w:rPr>
      </w:pPr>
      <w:r>
        <w:t>输入系统服务器的IP地址，格式例如： ggzy.klmy.gov.cn，然后点击“添加”按钮完成添加，再按“关闭”按钮退出</w:t>
      </w:r>
      <w:r>
        <w:rPr>
          <w:spacing w:val="4"/>
        </w:rPr>
        <w:t>。</w:t>
      </w:r>
    </w:p>
    <w:p w14:paraId="3FE44300">
      <w:r>
        <w:t>5、设置自定义安全级别，开放Activex的访问权限，如下图：</w:t>
      </w:r>
    </w:p>
    <w:p w14:paraId="32EB2D9F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534410" cy="4154805"/>
            <wp:effectExtent l="0" t="0" r="8890" b="17145"/>
            <wp:docPr id="1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EACE">
      <w:r>
        <w:t>会出现一个窗口，把其中的Activex控件和插件的设置全部改为启用，如下图：</w:t>
      </w:r>
    </w:p>
    <w:p w14:paraId="12D9A39A">
      <w:pPr>
        <w:jc w:val="center"/>
        <w:rPr>
          <w:spacing w:val="4"/>
        </w:rPr>
      </w:pPr>
      <w:r>
        <w:drawing>
          <wp:inline distT="0" distB="0" distL="114300" distR="114300">
            <wp:extent cx="3486785" cy="3677285"/>
            <wp:effectExtent l="0" t="0" r="18415" b="18415"/>
            <wp:docPr id="1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F85B">
      <w:r>
        <w:t>文件下载设置，开放文件下载的权限：设置为启用，如下图：</w:t>
      </w:r>
    </w:p>
    <w:p w14:paraId="5CF58862">
      <w:pPr>
        <w:jc w:val="center"/>
      </w:pPr>
      <w:r>
        <w:rPr>
          <w:spacing w:val="4"/>
        </w:rPr>
        <w:drawing>
          <wp:inline distT="0" distB="0" distL="114300" distR="114300">
            <wp:extent cx="3522345" cy="3705225"/>
            <wp:effectExtent l="0" t="0" r="1905" b="9525"/>
            <wp:docPr id="1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02D3"/>
    <w:p w14:paraId="473F2FB8">
      <w:pPr>
        <w:pStyle w:val="5"/>
        <w:widowControl/>
        <w:tabs>
          <w:tab w:val="clear" w:pos="567"/>
        </w:tabs>
      </w:pPr>
      <w:bookmarkStart w:id="60" w:name="_Toc101695109"/>
      <w:bookmarkStart w:id="61" w:name="_Toc404764420"/>
      <w:bookmarkStart w:id="62" w:name="_Toc346701623"/>
      <w:bookmarkStart w:id="63" w:name="_Toc346183641"/>
      <w:bookmarkStart w:id="64" w:name="_Toc404243501"/>
      <w:bookmarkStart w:id="65" w:name="_Toc404765196"/>
      <w:r>
        <w:t>关闭拦截工具</w:t>
      </w:r>
      <w:bookmarkEnd w:id="60"/>
      <w:bookmarkEnd w:id="61"/>
      <w:bookmarkEnd w:id="62"/>
      <w:bookmarkEnd w:id="63"/>
      <w:bookmarkEnd w:id="64"/>
      <w:bookmarkEnd w:id="65"/>
    </w:p>
    <w:p w14:paraId="5E16823B">
      <w:r>
        <w:t>上述操作完成后，如果系统中某些功能仍不能使用，请将拦截工具关闭再试用。比如在windows工具栏中关闭弹出窗口阻止程序的操作，如下图：</w:t>
      </w:r>
    </w:p>
    <w:p w14:paraId="208EE9DA">
      <w:pPr>
        <w:pStyle w:val="61"/>
        <w:ind w:firstLine="480" w:firstLineChars="200"/>
        <w:jc w:val="center"/>
      </w:pPr>
      <w:r>
        <w:drawing>
          <wp:inline distT="0" distB="0" distL="114300" distR="114300">
            <wp:extent cx="5096510" cy="2326005"/>
            <wp:effectExtent l="0" t="0" r="8890" b="17145"/>
            <wp:docPr id="1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1090">
      <w:pPr>
        <w:ind w:firstLine="0" w:firstLineChars="0"/>
      </w:pPr>
    </w:p>
    <w:p w14:paraId="21BE18EA"/>
    <w:p w14:paraId="14CE901E">
      <w:pPr>
        <w:pStyle w:val="3"/>
      </w:pPr>
      <w:bookmarkStart w:id="66" w:name="_Toc101695110"/>
      <w:r>
        <w:rPr>
          <w:rFonts w:hint="eastAsia"/>
        </w:rPr>
        <w:t>虚拟开标大厅</w:t>
      </w:r>
      <w:bookmarkEnd w:id="66"/>
    </w:p>
    <w:p w14:paraId="537B90D6">
      <w:r>
        <w:t>本系统主要提供给</w:t>
      </w:r>
      <w:r>
        <w:rPr>
          <w:rFonts w:hint="eastAsia"/>
        </w:rPr>
        <w:t>主持人（招标代理/招标人）</w:t>
      </w:r>
      <w:r>
        <w:t>使用，实现</w:t>
      </w:r>
      <w:r>
        <w:rPr>
          <w:rFonts w:hint="eastAsia"/>
        </w:rPr>
        <w:t>主持人登录、查看今日项目、公布投标人、摇号抽签、解密、唱标、开标结束等功能</w:t>
      </w:r>
      <w:r>
        <w:t>。</w:t>
      </w:r>
    </w:p>
    <w:p w14:paraId="46703596">
      <w:pPr>
        <w:pStyle w:val="4"/>
      </w:pPr>
      <w:bookmarkStart w:id="67" w:name="_Toc101695111"/>
      <w:r>
        <w:rPr>
          <w:rFonts w:hint="eastAsia"/>
        </w:rPr>
        <w:t>登录</w:t>
      </w:r>
      <w:bookmarkEnd w:id="67"/>
    </w:p>
    <w:p w14:paraId="59C49F25">
      <w:pPr>
        <w:ind w:firstLine="422"/>
      </w:pPr>
      <w:r>
        <w:rPr>
          <w:b/>
          <w:bCs/>
        </w:rPr>
        <w:t>功能说明：</w:t>
      </w:r>
      <w:r>
        <w:rPr>
          <w:rFonts w:hint="eastAsia"/>
        </w:rPr>
        <w:t>主持人登录系统</w:t>
      </w:r>
      <w:r>
        <w:t>。</w:t>
      </w:r>
    </w:p>
    <w:p w14:paraId="671A3E9B">
      <w:pPr>
        <w:ind w:firstLine="422"/>
        <w:rPr>
          <w:b/>
          <w:bCs/>
        </w:rPr>
      </w:pPr>
      <w:r>
        <w:rPr>
          <w:b/>
          <w:bCs/>
        </w:rPr>
        <w:t>前置条件：</w:t>
      </w:r>
      <w:r>
        <w:rPr>
          <w:rFonts w:hint="eastAsia"/>
        </w:rPr>
        <w:t>主持人在业务系统注册过，且审核通过</w:t>
      </w:r>
      <w:r>
        <w:t>。</w:t>
      </w:r>
    </w:p>
    <w:p w14:paraId="74E0BD49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6CCA98D2">
      <w:pPr>
        <w:numPr>
          <w:ilvl w:val="0"/>
          <w:numId w:val="4"/>
        </w:numPr>
        <w:ind w:firstLineChars="0"/>
      </w:pPr>
      <w:r>
        <w:rPr>
          <w:rFonts w:hint="eastAsia"/>
        </w:rPr>
        <w:t>打开登录页面</w:t>
      </w:r>
      <w:r>
        <w:t>，如下图：</w:t>
      </w:r>
    </w:p>
    <w:p w14:paraId="6EACC9E2">
      <w:pPr>
        <w:pStyle w:val="2"/>
        <w:ind w:left="420" w:firstLine="0" w:firstLineChars="0"/>
      </w:pPr>
      <w:r>
        <w:drawing>
          <wp:inline distT="0" distB="0" distL="114300" distR="114300">
            <wp:extent cx="5252085" cy="4377055"/>
            <wp:effectExtent l="0" t="0" r="5715" b="4445"/>
            <wp:docPr id="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5A182">
      <w:pPr>
        <w:ind w:firstLine="0" w:firstLineChars="0"/>
      </w:pPr>
      <w:r>
        <w:drawing>
          <wp:inline distT="0" distB="0" distL="114300" distR="114300">
            <wp:extent cx="5243830" cy="2197100"/>
            <wp:effectExtent l="0" t="0" r="13970" b="12700"/>
            <wp:docPr id="1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1BD62">
      <w:pPr>
        <w:numPr>
          <w:ilvl w:val="0"/>
          <w:numId w:val="3"/>
        </w:numPr>
      </w:pPr>
      <w:r>
        <w:rPr>
          <w:rFonts w:hint="eastAsia"/>
        </w:rPr>
        <w:t>点击“登录”，先选择地区，选择完后进入登陆界面，在左侧选择“招标代理”或者“招标人”身份，插入CA锁，输入密码后，点击“登录”</w:t>
      </w:r>
      <w:r>
        <w:t>：</w:t>
      </w:r>
    </w:p>
    <w:p w14:paraId="646B4B8A">
      <w:pPr>
        <w:pStyle w:val="2"/>
        <w:ind w:firstLine="0" w:firstLineChars="0"/>
      </w:pPr>
      <w:r>
        <w:drawing>
          <wp:inline distT="0" distB="0" distL="114300" distR="114300">
            <wp:extent cx="5243830" cy="2329815"/>
            <wp:effectExtent l="0" t="0" r="13970" b="13335"/>
            <wp:docPr id="1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DDF8D">
      <w:pPr>
        <w:pStyle w:val="2"/>
        <w:ind w:firstLine="0" w:firstLineChars="0"/>
      </w:pPr>
    </w:p>
    <w:p w14:paraId="77B5E5B5">
      <w:pPr>
        <w:ind w:firstLine="0" w:firstLineChars="0"/>
      </w:pPr>
    </w:p>
    <w:p w14:paraId="183A4785">
      <w:pPr>
        <w:pStyle w:val="4"/>
      </w:pPr>
      <w:bookmarkStart w:id="68" w:name="_Toc101695112"/>
      <w:r>
        <w:rPr>
          <w:rFonts w:hint="eastAsia"/>
        </w:rPr>
        <w:t>项目列表页面</w:t>
      </w:r>
      <w:bookmarkEnd w:id="68"/>
    </w:p>
    <w:p w14:paraId="0ED67FFA">
      <w:pPr>
        <w:ind w:firstLine="422"/>
      </w:pPr>
      <w:r>
        <w:rPr>
          <w:b/>
          <w:bCs/>
        </w:rPr>
        <w:t>功能说明：</w:t>
      </w:r>
      <w:r>
        <w:rPr>
          <w:rFonts w:hint="eastAsia"/>
        </w:rPr>
        <w:t>主持人登录之后可以看到今日开标项目以及历史开标项目，可以根据建设工程、政府采购、资审系统来查看项目</w:t>
      </w:r>
      <w:r>
        <w:t>。</w:t>
      </w:r>
    </w:p>
    <w:p w14:paraId="55F8584F">
      <w:pPr>
        <w:ind w:firstLine="422"/>
      </w:pPr>
      <w:r>
        <w:rPr>
          <w:b/>
          <w:bCs/>
        </w:rPr>
        <w:t>前置条件：</w:t>
      </w:r>
      <w:r>
        <w:rPr>
          <w:rFonts w:hint="eastAsia"/>
        </w:rPr>
        <w:t>当前主持人今天有开标的标段；</w:t>
      </w:r>
    </w:p>
    <w:p w14:paraId="3360BB45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20FD277A">
      <w:r>
        <w:rPr>
          <w:rFonts w:hint="eastAsia"/>
        </w:rPr>
        <w:t>右上角有头像按钮，点击后可查看本人身份以及退出登陆</w:t>
      </w:r>
      <w:r>
        <w:t>，</w:t>
      </w:r>
      <w:r>
        <w:rPr>
          <w:rFonts w:hint="eastAsia"/>
        </w:rPr>
        <w:t>中间项目列表区域右上角可根据标段名称、标段编号、开标时间查询，并且可以选择是否仅看我的项目，</w:t>
      </w:r>
      <w:r>
        <w:t>如下图：</w:t>
      </w:r>
    </w:p>
    <w:p w14:paraId="2AE02BE5">
      <w:pPr>
        <w:ind w:firstLine="0" w:firstLineChars="0"/>
      </w:pPr>
      <w:r>
        <w:drawing>
          <wp:inline distT="0" distB="0" distL="114300" distR="114300">
            <wp:extent cx="5241290" cy="2226310"/>
            <wp:effectExtent l="0" t="0" r="16510" b="2540"/>
            <wp:docPr id="1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A8FC">
      <w:pPr>
        <w:pStyle w:val="4"/>
      </w:pPr>
      <w:bookmarkStart w:id="69" w:name="_Toc101695113"/>
      <w:r>
        <w:rPr>
          <w:rFonts w:hint="eastAsia"/>
        </w:rPr>
        <w:t>进入开标大厅</w:t>
      </w:r>
      <w:bookmarkEnd w:id="69"/>
    </w:p>
    <w:p w14:paraId="355FBF9D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页面基本内容介绍</w:t>
      </w:r>
      <w:r>
        <w:rPr>
          <w:bCs/>
        </w:rPr>
        <w:t>。</w:t>
      </w:r>
    </w:p>
    <w:p w14:paraId="3546AB73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无</w:t>
      </w:r>
      <w:r>
        <w:t>。</w:t>
      </w:r>
    </w:p>
    <w:p w14:paraId="732C2434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7F75DF64">
      <w:pPr>
        <w:numPr>
          <w:ilvl w:val="0"/>
          <w:numId w:val="5"/>
        </w:numPr>
      </w:pPr>
      <w:r>
        <w:rPr>
          <w:rFonts w:hint="eastAsia"/>
        </w:rPr>
        <w:t>进入页面首先阅读开标流程，点击“我已阅读”进入开标大厅，点击“取消”返回项目列表页面</w:t>
      </w:r>
      <w:r>
        <w:t>。</w:t>
      </w:r>
    </w:p>
    <w:p w14:paraId="6807ECF2">
      <w:pPr>
        <w:ind w:firstLine="0" w:firstLineChars="0"/>
      </w:pPr>
      <w:r>
        <w:drawing>
          <wp:inline distT="0" distB="0" distL="114300" distR="114300">
            <wp:extent cx="5241290" cy="2206625"/>
            <wp:effectExtent l="0" t="0" r="16510" b="3175"/>
            <wp:docPr id="2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9F63B">
      <w:pPr>
        <w:numPr>
          <w:ilvl w:val="0"/>
          <w:numId w:val="5"/>
        </w:numPr>
      </w:pPr>
      <w:r>
        <w:rPr>
          <w:rFonts w:hint="eastAsia"/>
        </w:rPr>
        <w:t>页面上方展示基础信息、右上方有“切换标段”按钮，点击后可返回项目列表页面；</w:t>
      </w:r>
    </w:p>
    <w:p w14:paraId="6607E1A4">
      <w:pPr>
        <w:numPr>
          <w:ilvl w:val="0"/>
          <w:numId w:val="5"/>
        </w:numPr>
      </w:pPr>
      <w:r>
        <w:rPr>
          <w:rFonts w:hint="eastAsia"/>
        </w:rPr>
        <w:t>左侧中间部分是开标环节展示，不同开标过程展示不同的内容；</w:t>
      </w:r>
    </w:p>
    <w:p w14:paraId="576830DC">
      <w:pPr>
        <w:ind w:firstLine="0" w:firstLineChars="0"/>
      </w:pPr>
      <w:r>
        <w:drawing>
          <wp:inline distT="0" distB="0" distL="114300" distR="114300">
            <wp:extent cx="5245100" cy="2202815"/>
            <wp:effectExtent l="0" t="0" r="12700" b="6985"/>
            <wp:docPr id="2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7516C">
      <w:pPr>
        <w:numPr>
          <w:ilvl w:val="0"/>
          <w:numId w:val="5"/>
        </w:numPr>
        <w:ind w:firstLineChars="0"/>
      </w:pPr>
      <w:r>
        <w:rPr>
          <w:rFonts w:hint="eastAsia"/>
        </w:rPr>
        <w:t>右侧上部分为直播，直播开标场景，主持人需开启对应的画面才可观看；直播区域右上角设置可开启或者关闭环境监控、主持人桌面、主持人近景；</w:t>
      </w:r>
    </w:p>
    <w:p w14:paraId="266B6C7C">
      <w:pPr>
        <w:pStyle w:val="2"/>
        <w:ind w:firstLine="420"/>
      </w:pPr>
      <w:r>
        <w:rPr>
          <w:rFonts w:hint="eastAsia"/>
        </w:rPr>
        <w:t>5、右侧下部分为公告及聊天区域，聊天区域右上角设置可开启或关闭群聊、私聊；</w:t>
      </w:r>
    </w:p>
    <w:p w14:paraId="022D9922">
      <w:pPr>
        <w:ind w:firstLine="0" w:firstLineChars="0"/>
      </w:pPr>
      <w:r>
        <w:drawing>
          <wp:inline distT="0" distB="0" distL="114300" distR="114300">
            <wp:extent cx="5245100" cy="2214245"/>
            <wp:effectExtent l="0" t="0" r="12700" b="14605"/>
            <wp:docPr id="2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56CA">
      <w:pPr>
        <w:ind w:firstLine="0" w:firstLineChars="0"/>
      </w:pPr>
    </w:p>
    <w:p w14:paraId="1A064806">
      <w:pPr>
        <w:pStyle w:val="4"/>
      </w:pPr>
      <w:bookmarkStart w:id="70" w:name="_Toc101695114"/>
      <w:r>
        <w:rPr>
          <w:rFonts w:hint="eastAsia"/>
        </w:rPr>
        <w:t>等待开标</w:t>
      </w:r>
      <w:bookmarkEnd w:id="70"/>
    </w:p>
    <w:p w14:paraId="7E05C0FA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主持人在等待开标时可开启直播</w:t>
      </w:r>
      <w:r>
        <w:rPr>
          <w:bCs/>
        </w:rPr>
        <w:t>。</w:t>
      </w:r>
    </w:p>
    <w:p w14:paraId="3DC93CDE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无</w:t>
      </w:r>
      <w:r>
        <w:rPr>
          <w:bCs/>
        </w:rPr>
        <w:t>。</w:t>
      </w:r>
    </w:p>
    <w:p w14:paraId="6C30E8D6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2B6151EE">
      <w:pPr>
        <w:pStyle w:val="2"/>
        <w:numPr>
          <w:ilvl w:val="0"/>
          <w:numId w:val="6"/>
        </w:numPr>
        <w:ind w:firstLine="420"/>
      </w:pPr>
      <w:r>
        <w:rPr>
          <w:rFonts w:hint="eastAsia"/>
        </w:rPr>
        <w:t>等待开标时间到之后，主持人页面下方出现“公布投标人”按钮；</w:t>
      </w:r>
    </w:p>
    <w:p w14:paraId="4F90D86C">
      <w:pPr>
        <w:pStyle w:val="2"/>
        <w:ind w:firstLine="0" w:firstLineChars="0"/>
      </w:pPr>
      <w:r>
        <w:drawing>
          <wp:inline distT="0" distB="0" distL="114300" distR="114300">
            <wp:extent cx="5245100" cy="2202815"/>
            <wp:effectExtent l="0" t="0" r="12700" b="6985"/>
            <wp:docPr id="2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B9396">
      <w:pPr>
        <w:pStyle w:val="2"/>
        <w:numPr>
          <w:ilvl w:val="0"/>
          <w:numId w:val="6"/>
        </w:numPr>
        <w:ind w:firstLine="420"/>
      </w:pPr>
      <w:r>
        <w:rPr>
          <w:rFonts w:hint="eastAsia"/>
        </w:rPr>
        <w:t>点击“公布投标人”按钮公布投标人</w:t>
      </w:r>
    </w:p>
    <w:p w14:paraId="56E987A1">
      <w:pPr>
        <w:pStyle w:val="2"/>
        <w:ind w:firstLine="0" w:firstLineChars="0"/>
      </w:pPr>
      <w:r>
        <w:drawing>
          <wp:inline distT="0" distB="0" distL="114300" distR="114300">
            <wp:extent cx="5245100" cy="2202815"/>
            <wp:effectExtent l="0" t="0" r="12700" b="6985"/>
            <wp:docPr id="2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16C9">
      <w:pPr>
        <w:pStyle w:val="2"/>
        <w:numPr>
          <w:ilvl w:val="0"/>
          <w:numId w:val="6"/>
        </w:numPr>
        <w:ind w:firstLine="420"/>
      </w:pPr>
      <w:r>
        <w:rPr>
          <w:rFonts w:hint="eastAsia"/>
        </w:rPr>
        <w:t>公布投标人完成之后，点击“确认”按钮，进入下一步；如果公布失败，请点击“重试”按钮重新同步；</w:t>
      </w:r>
    </w:p>
    <w:p w14:paraId="5648120E">
      <w:pPr>
        <w:pStyle w:val="2"/>
        <w:ind w:firstLine="0" w:firstLineChars="0"/>
      </w:pPr>
      <w:r>
        <w:drawing>
          <wp:inline distT="0" distB="0" distL="114300" distR="114300">
            <wp:extent cx="5245100" cy="2202815"/>
            <wp:effectExtent l="0" t="0" r="12700" b="6985"/>
            <wp:docPr id="2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98A6">
      <w:pPr>
        <w:ind w:firstLine="0" w:firstLineChars="0"/>
      </w:pPr>
    </w:p>
    <w:p w14:paraId="0D91F1EC">
      <w:pPr>
        <w:pStyle w:val="4"/>
      </w:pPr>
      <w:bookmarkStart w:id="71" w:name="_Toc101695115"/>
      <w:r>
        <w:rPr>
          <w:rFonts w:hint="eastAsia"/>
        </w:rPr>
        <w:t>查看投标人</w:t>
      </w:r>
      <w:bookmarkEnd w:id="71"/>
    </w:p>
    <w:p w14:paraId="32FAA781">
      <w:pPr>
        <w:ind w:firstLine="422"/>
      </w:pPr>
      <w:r>
        <w:rPr>
          <w:b/>
        </w:rPr>
        <w:t>功能说明：</w:t>
      </w:r>
      <w:r>
        <w:rPr>
          <w:rFonts w:hint="eastAsia"/>
          <w:bCs/>
        </w:rPr>
        <w:t>查看投标人名单</w:t>
      </w:r>
      <w:r>
        <w:t>。</w:t>
      </w:r>
    </w:p>
    <w:p w14:paraId="54F8BF40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主持人已公布投标人</w:t>
      </w:r>
      <w:r>
        <w:t>。</w:t>
      </w:r>
    </w:p>
    <w:p w14:paraId="65CDEDB6">
      <w:pPr>
        <w:rPr>
          <w:color w:val="FF0000"/>
        </w:rPr>
      </w:pPr>
      <w:r>
        <w:rPr>
          <w:rFonts w:hint="eastAsia"/>
          <w:color w:val="FF0000"/>
        </w:rPr>
        <w:t>注：最终退回的单位无需参加后续流程；</w:t>
      </w:r>
    </w:p>
    <w:p w14:paraId="28255BCD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3C3F848A">
      <w:pPr>
        <w:numPr>
          <w:ilvl w:val="0"/>
          <w:numId w:val="7"/>
        </w:numPr>
      </w:pPr>
      <w:r>
        <w:rPr>
          <w:rFonts w:hint="eastAsia"/>
        </w:rPr>
        <w:t>可退回投标文件，鼠标移到右上角“退回”按钮之后弹出投标文件退回页面，填写退回原因之后，点击“确认”按钮进行退回操作；</w:t>
      </w:r>
    </w:p>
    <w:p w14:paraId="6BCC7D65">
      <w:pPr>
        <w:ind w:firstLine="0" w:firstLineChars="0"/>
        <w:rPr>
          <w:color w:val="FF0000"/>
        </w:rPr>
      </w:pPr>
      <w:r>
        <w:rPr>
          <w:rFonts w:hint="eastAsia"/>
          <w:color w:val="FF0000"/>
        </w:rPr>
        <w:t xml:space="preserve">    注：请主持人按照相关法律法规以及招标文件要求，慎重确认撤销操作！</w:t>
      </w:r>
    </w:p>
    <w:p w14:paraId="1EF36EAD">
      <w:pPr>
        <w:ind w:firstLine="0" w:firstLineChars="0"/>
      </w:pPr>
      <w:r>
        <w:drawing>
          <wp:inline distT="0" distB="0" distL="114300" distR="114300">
            <wp:extent cx="5245100" cy="1946910"/>
            <wp:effectExtent l="0" t="0" r="0" b="0"/>
            <wp:docPr id="2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rcRect t="11285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9945F">
      <w:pPr>
        <w:ind w:firstLine="0" w:firstLineChars="0"/>
      </w:pPr>
      <w:r>
        <w:drawing>
          <wp:inline distT="0" distB="0" distL="114300" distR="114300">
            <wp:extent cx="5245100" cy="2202815"/>
            <wp:effectExtent l="0" t="0" r="12700" b="6985"/>
            <wp:docPr id="2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5F472">
      <w:pPr>
        <w:ind w:firstLine="0" w:firstLineChars="0"/>
      </w:pPr>
    </w:p>
    <w:p w14:paraId="4AEE0330">
      <w:pPr>
        <w:ind w:firstLine="0" w:firstLineChars="0"/>
      </w:pPr>
      <w:r>
        <w:drawing>
          <wp:inline distT="0" distB="0" distL="114300" distR="114300">
            <wp:extent cx="5243830" cy="1965325"/>
            <wp:effectExtent l="0" t="0" r="13970" b="15875"/>
            <wp:docPr id="2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4"/>
                    <pic:cNvPicPr>
                      <a:picLocks noChangeAspect="1"/>
                    </pic:cNvPicPr>
                  </pic:nvPicPr>
                  <pic:blipFill>
                    <a:blip r:embed="rId38"/>
                    <a:srcRect t="1093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D19E3">
      <w:pPr>
        <w:numPr>
          <w:ilvl w:val="0"/>
          <w:numId w:val="7"/>
        </w:numPr>
      </w:pPr>
      <w:r>
        <w:rPr>
          <w:rFonts w:hint="eastAsia"/>
        </w:rPr>
        <w:t>可对已退回的投标文件进行取消退回操作；</w:t>
      </w:r>
    </w:p>
    <w:p w14:paraId="33D6DDF3">
      <w:pPr>
        <w:ind w:firstLine="0" w:firstLineChars="0"/>
      </w:pPr>
      <w:r>
        <w:drawing>
          <wp:inline distT="0" distB="0" distL="114300" distR="114300">
            <wp:extent cx="5243830" cy="1980565"/>
            <wp:effectExtent l="0" t="0" r="13970" b="635"/>
            <wp:docPr id="2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rcRect t="1008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D8DDD">
      <w:pPr>
        <w:numPr>
          <w:ilvl w:val="0"/>
          <w:numId w:val="7"/>
        </w:numPr>
      </w:pPr>
      <w:r>
        <w:rPr>
          <w:rFonts w:hint="eastAsia"/>
        </w:rPr>
        <w:t>主持人可点击右上角打印按钮，点击可打印投标人名单；</w:t>
      </w:r>
    </w:p>
    <w:p w14:paraId="39324BE6">
      <w:pPr>
        <w:ind w:firstLine="0" w:firstLineChars="0"/>
      </w:pPr>
    </w:p>
    <w:p w14:paraId="5A1CCC24">
      <w:pPr>
        <w:ind w:firstLine="0" w:firstLineChars="0"/>
      </w:pPr>
    </w:p>
    <w:p w14:paraId="04084848">
      <w:pPr>
        <w:ind w:firstLine="0" w:firstLineChars="0"/>
      </w:pPr>
      <w:r>
        <w:drawing>
          <wp:inline distT="0" distB="0" distL="114300" distR="114300">
            <wp:extent cx="5243830" cy="1856740"/>
            <wp:effectExtent l="0" t="0" r="0" b="0"/>
            <wp:docPr id="3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6"/>
                    <pic:cNvPicPr>
                      <a:picLocks noChangeAspect="1"/>
                    </pic:cNvPicPr>
                  </pic:nvPicPr>
                  <pic:blipFill>
                    <a:blip r:embed="rId40"/>
                    <a:srcRect t="1602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9A256">
      <w:pPr>
        <w:numPr>
          <w:ilvl w:val="0"/>
          <w:numId w:val="7"/>
        </w:numPr>
      </w:pPr>
      <w:r>
        <w:rPr>
          <w:rFonts w:hint="eastAsia"/>
        </w:rPr>
        <w:t>点击“下一阶段”按钮进入下一阶段；</w:t>
      </w:r>
    </w:p>
    <w:p w14:paraId="2FFB5BAE">
      <w:pPr>
        <w:pStyle w:val="2"/>
        <w:ind w:firstLine="0" w:firstLineChars="0"/>
      </w:pPr>
    </w:p>
    <w:p w14:paraId="6E658F36">
      <w:pPr>
        <w:pStyle w:val="2"/>
        <w:ind w:firstLine="0" w:firstLineChars="0"/>
      </w:pPr>
      <w:r>
        <w:drawing>
          <wp:inline distT="0" distB="0" distL="114300" distR="114300">
            <wp:extent cx="5243830" cy="1949450"/>
            <wp:effectExtent l="0" t="0" r="13970" b="12700"/>
            <wp:docPr id="3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7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3FFE1">
      <w:pPr>
        <w:pStyle w:val="4"/>
      </w:pPr>
      <w:bookmarkStart w:id="72" w:name="_Toc101695116"/>
      <w:r>
        <w:rPr>
          <w:rFonts w:hint="eastAsia"/>
        </w:rPr>
        <w:t>标书解密</w:t>
      </w:r>
      <w:bookmarkEnd w:id="72"/>
    </w:p>
    <w:p w14:paraId="6AEC3EEA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投标人、招标人进行解密</w:t>
      </w:r>
      <w:r>
        <w:rPr>
          <w:bCs/>
        </w:rPr>
        <w:t>。</w:t>
      </w:r>
    </w:p>
    <w:p w14:paraId="04369198">
      <w:pPr>
        <w:ind w:firstLine="422"/>
      </w:pPr>
      <w:r>
        <w:rPr>
          <w:b/>
        </w:rPr>
        <w:t>前置条件：</w:t>
      </w:r>
    </w:p>
    <w:p w14:paraId="3C7C2DFD">
      <w:pPr>
        <w:ind w:firstLine="422"/>
      </w:pPr>
      <w:r>
        <w:rPr>
          <w:b/>
          <w:bCs/>
        </w:rPr>
        <w:t>操作步骤：</w:t>
      </w:r>
    </w:p>
    <w:p w14:paraId="02FD1E7A">
      <w:pPr>
        <w:numPr>
          <w:ilvl w:val="0"/>
          <w:numId w:val="8"/>
        </w:numPr>
      </w:pPr>
      <w:r>
        <w:rPr>
          <w:rFonts w:hint="eastAsia"/>
        </w:rPr>
        <w:t>点击“开始投标解密”按钮后开始投标人解密，点击后“开始投标人解密”按钮变为“延长解密时间”；</w:t>
      </w:r>
    </w:p>
    <w:p w14:paraId="1245CD00">
      <w:pPr>
        <w:ind w:firstLine="0" w:firstLineChars="0"/>
      </w:pPr>
    </w:p>
    <w:p w14:paraId="4386E073">
      <w:pPr>
        <w:ind w:firstLine="0" w:firstLineChars="0"/>
      </w:pPr>
      <w:r>
        <w:drawing>
          <wp:inline distT="0" distB="0" distL="114300" distR="114300">
            <wp:extent cx="5243830" cy="1945005"/>
            <wp:effectExtent l="0" t="0" r="13970" b="17145"/>
            <wp:docPr id="3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8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D631D">
      <w:pPr>
        <w:pStyle w:val="2"/>
        <w:ind w:firstLine="0" w:firstLineChars="0"/>
      </w:pPr>
      <w:r>
        <w:drawing>
          <wp:inline distT="0" distB="0" distL="114300" distR="114300">
            <wp:extent cx="5243830" cy="1957705"/>
            <wp:effectExtent l="0" t="0" r="13970" b="4445"/>
            <wp:docPr id="3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9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01705">
      <w:pPr>
        <w:numPr>
          <w:ilvl w:val="0"/>
          <w:numId w:val="8"/>
        </w:numPr>
      </w:pPr>
      <w:r>
        <w:rPr>
          <w:rFonts w:hint="eastAsia"/>
        </w:rPr>
        <w:t>解密时间已到，尚有投标人未解密完成，主持人可以延长解密时间或者直接进行招标人解密，点击“延长解密时间”按钮，所有未解密成功的投标人可以继续解密；</w:t>
      </w:r>
    </w:p>
    <w:p w14:paraId="7B6FD93A">
      <w:pPr>
        <w:ind w:firstLine="0" w:firstLineChars="0"/>
      </w:pPr>
      <w:r>
        <w:drawing>
          <wp:inline distT="0" distB="0" distL="114300" distR="114300">
            <wp:extent cx="5240020" cy="1783080"/>
            <wp:effectExtent l="0" t="0" r="17780" b="7620"/>
            <wp:docPr id="34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0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D98AC">
      <w:pPr>
        <w:numPr>
          <w:ilvl w:val="0"/>
          <w:numId w:val="8"/>
        </w:numPr>
        <w:ind w:left="630" w:right="210" w:rightChars="100" w:firstLine="0" w:firstLineChars="0"/>
      </w:pPr>
      <w:r>
        <w:rPr>
          <w:rFonts w:hint="eastAsia"/>
        </w:rPr>
        <w:t>主持人点击“下一阶段”按钮进入下一阶段。</w:t>
      </w:r>
    </w:p>
    <w:p w14:paraId="2136BACE">
      <w:pPr>
        <w:ind w:firstLine="0" w:firstLineChars="0"/>
      </w:pPr>
      <w:r>
        <w:drawing>
          <wp:inline distT="0" distB="0" distL="114300" distR="114300">
            <wp:extent cx="5240020" cy="1758315"/>
            <wp:effectExtent l="0" t="0" r="17780" b="13335"/>
            <wp:docPr id="3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1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92CC7">
      <w:pPr>
        <w:pStyle w:val="4"/>
      </w:pPr>
      <w:bookmarkStart w:id="73" w:name="_Toc101695117"/>
      <w:r>
        <w:rPr>
          <w:rFonts w:hint="eastAsia"/>
        </w:rPr>
        <w:t>批量导入</w:t>
      </w:r>
      <w:bookmarkEnd w:id="73"/>
    </w:p>
    <w:p w14:paraId="3427B41F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批量导入文件</w:t>
      </w:r>
      <w:r>
        <w:rPr>
          <w:bCs/>
        </w:rPr>
        <w:t>。</w:t>
      </w:r>
    </w:p>
    <w:p w14:paraId="7235DD54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解密成功</w:t>
      </w:r>
      <w:r>
        <w:rPr>
          <w:bCs/>
        </w:rPr>
        <w:t>。</w:t>
      </w:r>
    </w:p>
    <w:p w14:paraId="1778D814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120634C9">
      <w:pPr>
        <w:numPr>
          <w:ilvl w:val="0"/>
          <w:numId w:val="9"/>
        </w:numPr>
      </w:pPr>
      <w:r>
        <w:rPr>
          <w:rFonts w:hint="eastAsia"/>
        </w:rPr>
        <w:t>点击“导入”按钮；</w:t>
      </w:r>
    </w:p>
    <w:p w14:paraId="1323BB5E">
      <w:pPr>
        <w:ind w:firstLine="0" w:firstLineChars="0"/>
      </w:pPr>
      <w:r>
        <w:drawing>
          <wp:inline distT="0" distB="0" distL="114300" distR="114300">
            <wp:extent cx="5243830" cy="1952625"/>
            <wp:effectExtent l="0" t="0" r="13970" b="9525"/>
            <wp:docPr id="36" name="图片 42" descr="C:/Users/Administrator/Desktop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2" descr="C:/Users/Administrator/Desktop/图片1.png图片1"/>
                    <pic:cNvPicPr>
                      <a:picLocks noChangeAspect="1"/>
                    </pic:cNvPicPr>
                  </pic:nvPicPr>
                  <pic:blipFill>
                    <a:blip r:embed="rId46"/>
                    <a:srcRect l="146" r="14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7CF67">
      <w:pPr>
        <w:ind w:firstLine="0" w:firstLineChars="0"/>
      </w:pPr>
      <w:r>
        <w:drawing>
          <wp:inline distT="0" distB="0" distL="114300" distR="114300">
            <wp:extent cx="5243830" cy="1941195"/>
            <wp:effectExtent l="0" t="0" r="0" b="0"/>
            <wp:docPr id="3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3"/>
                    <pic:cNvPicPr>
                      <a:picLocks noChangeAspect="1"/>
                    </pic:cNvPicPr>
                  </pic:nvPicPr>
                  <pic:blipFill>
                    <a:blip r:embed="rId47"/>
                    <a:srcRect t="1000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C7C7B">
      <w:pPr>
        <w:numPr>
          <w:ilvl w:val="0"/>
          <w:numId w:val="9"/>
        </w:numPr>
      </w:pPr>
      <w:r>
        <w:rPr>
          <w:rFonts w:hint="eastAsia"/>
        </w:rPr>
        <w:t>导入完成之后，点击“确认”按钮；如果导入失败，可再次点击“导入”按钮重新导入失败的单位；点击“下一阶段”按钮进入下一阶段</w:t>
      </w:r>
      <w:bookmarkStart w:id="87" w:name="_GoBack"/>
      <w:bookmarkEnd w:id="87"/>
    </w:p>
    <w:p w14:paraId="51806142">
      <w:pPr>
        <w:pStyle w:val="2"/>
        <w:ind w:firstLine="0" w:firstLineChars="0"/>
      </w:pPr>
      <w:r>
        <w:drawing>
          <wp:inline distT="0" distB="0" distL="114300" distR="114300">
            <wp:extent cx="5240020" cy="1953260"/>
            <wp:effectExtent l="0" t="0" r="17780" b="8890"/>
            <wp:docPr id="3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4"/>
                    <pic:cNvPicPr>
                      <a:picLocks noChangeAspect="1"/>
                    </pic:cNvPicPr>
                  </pic:nvPicPr>
                  <pic:blipFill>
                    <a:blip r:embed="rId48"/>
                    <a:srcRect t="9689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0145E">
      <w:pPr>
        <w:ind w:firstLine="0" w:firstLineChars="0"/>
      </w:pPr>
    </w:p>
    <w:p w14:paraId="7ABA297F">
      <w:pPr>
        <w:pStyle w:val="4"/>
      </w:pPr>
      <w:bookmarkStart w:id="74" w:name="_Toc101695118"/>
      <w:r>
        <w:rPr>
          <w:rFonts w:hint="eastAsia"/>
        </w:rPr>
        <w:t>参数抽取</w:t>
      </w:r>
      <w:bookmarkEnd w:id="74"/>
    </w:p>
    <w:p w14:paraId="52D6D4B0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参数抽取</w:t>
      </w:r>
      <w:r>
        <w:rPr>
          <w:bCs/>
        </w:rPr>
        <w:t>。</w:t>
      </w:r>
    </w:p>
    <w:p w14:paraId="16AA3EFA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标书导入成功</w:t>
      </w:r>
      <w:r>
        <w:rPr>
          <w:bCs/>
        </w:rPr>
        <w:t>。</w:t>
      </w:r>
    </w:p>
    <w:p w14:paraId="1C3ECAE6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2FFA975F">
      <w:pPr>
        <w:numPr>
          <w:ilvl w:val="0"/>
          <w:numId w:val="10"/>
        </w:numPr>
      </w:pPr>
      <w:r>
        <w:rPr>
          <w:rFonts w:hint="eastAsia"/>
        </w:rPr>
        <w:t>通过按钮点击选择评审标准；</w:t>
      </w:r>
    </w:p>
    <w:p w14:paraId="3B8DEBBB">
      <w:pPr>
        <w:pStyle w:val="2"/>
        <w:ind w:firstLine="0" w:firstLineChars="0"/>
      </w:pPr>
      <w:r>
        <w:drawing>
          <wp:inline distT="0" distB="0" distL="114300" distR="114300">
            <wp:extent cx="5243830" cy="1927225"/>
            <wp:effectExtent l="0" t="0" r="13970" b="15875"/>
            <wp:docPr id="39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5"/>
                    <pic:cNvPicPr>
                      <a:picLocks noChangeAspect="1"/>
                    </pic:cNvPicPr>
                  </pic:nvPicPr>
                  <pic:blipFill>
                    <a:blip r:embed="rId49"/>
                    <a:srcRect t="1120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94511">
      <w:pPr>
        <w:numPr>
          <w:ilvl w:val="0"/>
          <w:numId w:val="10"/>
        </w:numPr>
      </w:pPr>
      <w:r>
        <w:rPr>
          <w:rFonts w:hint="eastAsia"/>
        </w:rPr>
        <w:t>通过按钮点击、滚动抽取（点击停止）或者滚动抽取（定时停止）选择方法</w:t>
      </w:r>
    </w:p>
    <w:p w14:paraId="68FB78BC">
      <w:pPr>
        <w:pStyle w:val="2"/>
        <w:ind w:firstLine="0" w:firstLineChars="0"/>
      </w:pPr>
      <w:r>
        <w:drawing>
          <wp:inline distT="0" distB="0" distL="114300" distR="114300">
            <wp:extent cx="5240020" cy="1924050"/>
            <wp:effectExtent l="0" t="0" r="17780" b="0"/>
            <wp:docPr id="40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6"/>
                    <pic:cNvPicPr>
                      <a:picLocks noChangeAspect="1"/>
                    </pic:cNvPicPr>
                  </pic:nvPicPr>
                  <pic:blipFill>
                    <a:blip r:embed="rId50"/>
                    <a:srcRect t="11040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3C327">
      <w:pPr>
        <w:pStyle w:val="2"/>
        <w:ind w:firstLine="0" w:firstLineChars="0"/>
      </w:pPr>
      <w:r>
        <w:drawing>
          <wp:inline distT="0" distB="0" distL="114300" distR="114300">
            <wp:extent cx="5247640" cy="1948180"/>
            <wp:effectExtent l="0" t="0" r="10160" b="13970"/>
            <wp:docPr id="41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7"/>
                    <pic:cNvPicPr>
                      <a:picLocks noChangeAspect="1"/>
                    </pic:cNvPicPr>
                  </pic:nvPicPr>
                  <pic:blipFill>
                    <a:blip r:embed="rId51"/>
                    <a:srcRect t="9924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27680">
      <w:pPr>
        <w:numPr>
          <w:ilvl w:val="0"/>
          <w:numId w:val="10"/>
        </w:numPr>
      </w:pPr>
      <w:r>
        <w:rPr>
          <w:rFonts w:hint="eastAsia"/>
        </w:rPr>
        <w:t>根据参数抽取的类型，点击“开始抽取”、“保存并录入”或“自动计算”；</w:t>
      </w:r>
    </w:p>
    <w:p w14:paraId="6C38E357">
      <w:pPr>
        <w:pStyle w:val="2"/>
        <w:ind w:firstLine="0" w:firstLineChars="0"/>
      </w:pPr>
      <w:r>
        <w:drawing>
          <wp:inline distT="0" distB="0" distL="114300" distR="114300">
            <wp:extent cx="5243830" cy="1920240"/>
            <wp:effectExtent l="0" t="0" r="13970" b="3810"/>
            <wp:docPr id="42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8"/>
                    <pic:cNvPicPr>
                      <a:picLocks noChangeAspect="1"/>
                    </pic:cNvPicPr>
                  </pic:nvPicPr>
                  <pic:blipFill>
                    <a:blip r:embed="rId52"/>
                    <a:srcRect t="1106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66E73">
      <w:pPr>
        <w:pStyle w:val="2"/>
        <w:numPr>
          <w:ilvl w:val="0"/>
          <w:numId w:val="10"/>
        </w:numPr>
        <w:ind w:firstLine="420"/>
      </w:pPr>
      <w:r>
        <w:rPr>
          <w:rFonts w:hint="eastAsia"/>
        </w:rPr>
        <w:t>点击</w:t>
      </w:r>
      <w:r>
        <w:drawing>
          <wp:inline distT="0" distB="0" distL="114300" distR="114300">
            <wp:extent cx="691515" cy="341630"/>
            <wp:effectExtent l="0" t="0" r="13335" b="1270"/>
            <wp:docPr id="4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，新增并录入抽取的参数值群，可以修改或者删除参数值；</w:t>
      </w:r>
    </w:p>
    <w:p w14:paraId="237816B5">
      <w:pPr>
        <w:pStyle w:val="2"/>
        <w:ind w:firstLine="0" w:firstLineChars="0"/>
      </w:pPr>
      <w:r>
        <w:drawing>
          <wp:inline distT="0" distB="0" distL="114300" distR="114300">
            <wp:extent cx="5247640" cy="1919605"/>
            <wp:effectExtent l="0" t="0" r="10160" b="4445"/>
            <wp:docPr id="44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0"/>
                    <pic:cNvPicPr>
                      <a:picLocks noChangeAspect="1"/>
                    </pic:cNvPicPr>
                  </pic:nvPicPr>
                  <pic:blipFill>
                    <a:blip r:embed="rId54"/>
                    <a:srcRect t="11401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BEAEE">
      <w:pPr>
        <w:pStyle w:val="2"/>
        <w:ind w:firstLine="420"/>
      </w:pPr>
      <w:r>
        <w:rPr>
          <w:rFonts w:hint="eastAsia"/>
        </w:rPr>
        <w:t>5、点击“开始抽取”按钮进入抽取界面，点击“开始”按钮即可开始随机抽取参数，点击“停止”即可完成抽取。</w:t>
      </w:r>
    </w:p>
    <w:p w14:paraId="514089BF">
      <w:pPr>
        <w:pStyle w:val="2"/>
        <w:ind w:firstLine="0" w:firstLineChars="0"/>
      </w:pPr>
      <w:r>
        <w:drawing>
          <wp:inline distT="0" distB="0" distL="114300" distR="114300">
            <wp:extent cx="5240020" cy="1873250"/>
            <wp:effectExtent l="0" t="0" r="17780" b="12700"/>
            <wp:docPr id="45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51"/>
                    <pic:cNvPicPr>
                      <a:picLocks noChangeAspect="1"/>
                    </pic:cNvPicPr>
                  </pic:nvPicPr>
                  <pic:blipFill>
                    <a:blip r:embed="rId55"/>
                    <a:srcRect t="13541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143B2">
      <w:pPr>
        <w:pStyle w:val="2"/>
        <w:ind w:firstLine="0" w:firstLineChars="0"/>
      </w:pPr>
      <w:r>
        <w:drawing>
          <wp:inline distT="0" distB="0" distL="114300" distR="114300">
            <wp:extent cx="5243830" cy="1932305"/>
            <wp:effectExtent l="0" t="0" r="13970" b="10795"/>
            <wp:docPr id="4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2"/>
                    <pic:cNvPicPr>
                      <a:picLocks noChangeAspect="1"/>
                    </pic:cNvPicPr>
                  </pic:nvPicPr>
                  <pic:blipFill>
                    <a:blip r:embed="rId56"/>
                    <a:srcRect t="1050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EDF4D">
      <w:pPr>
        <w:pStyle w:val="2"/>
        <w:ind w:firstLine="0" w:firstLineChars="0"/>
      </w:pPr>
      <w:r>
        <w:drawing>
          <wp:inline distT="0" distB="0" distL="114300" distR="114300">
            <wp:extent cx="5247640" cy="1950720"/>
            <wp:effectExtent l="0" t="0" r="10160" b="11430"/>
            <wp:docPr id="4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3"/>
                    <pic:cNvPicPr>
                      <a:picLocks noChangeAspect="1"/>
                    </pic:cNvPicPr>
                  </pic:nvPicPr>
                  <pic:blipFill>
                    <a:blip r:embed="rId57"/>
                    <a:srcRect t="9966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96C6F">
      <w:pPr>
        <w:pStyle w:val="2"/>
        <w:ind w:left="420" w:leftChars="200" w:firstLine="0" w:firstLineChars="0"/>
      </w:pPr>
      <w:r>
        <w:rPr>
          <w:rFonts w:hint="eastAsia"/>
        </w:rPr>
        <w:t>6、点击“关闭”按钮，返回参数抽取界面，显示抽取成功参数。</w:t>
      </w:r>
    </w:p>
    <w:p w14:paraId="4511A189">
      <w:pPr>
        <w:pStyle w:val="2"/>
        <w:ind w:firstLine="0" w:firstLineChars="0"/>
      </w:pPr>
      <w:r>
        <w:drawing>
          <wp:inline distT="0" distB="0" distL="114300" distR="114300">
            <wp:extent cx="5247640" cy="1882140"/>
            <wp:effectExtent l="0" t="0" r="10160" b="3810"/>
            <wp:docPr id="4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4"/>
                    <pic:cNvPicPr>
                      <a:picLocks noChangeAspect="1"/>
                    </pic:cNvPicPr>
                  </pic:nvPicPr>
                  <pic:blipFill>
                    <a:blip r:embed="rId58"/>
                    <a:srcRect t="12823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EDBFC">
      <w:pPr>
        <w:pStyle w:val="2"/>
        <w:ind w:firstLine="0" w:firstLineChars="0"/>
      </w:pPr>
      <w:r>
        <w:drawing>
          <wp:inline distT="0" distB="0" distL="114300" distR="114300">
            <wp:extent cx="5240020" cy="1910080"/>
            <wp:effectExtent l="0" t="0" r="17780" b="13970"/>
            <wp:docPr id="49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5"/>
                    <pic:cNvPicPr>
                      <a:picLocks noChangeAspect="1"/>
                    </pic:cNvPicPr>
                  </pic:nvPicPr>
                  <pic:blipFill>
                    <a:blip r:embed="rId59"/>
                    <a:srcRect t="11841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3CDF">
      <w:pPr>
        <w:pStyle w:val="2"/>
        <w:numPr>
          <w:ilvl w:val="0"/>
          <w:numId w:val="11"/>
        </w:numPr>
        <w:ind w:firstLine="420"/>
      </w:pPr>
      <w:r>
        <w:rPr>
          <w:rFonts w:hint="eastAsia"/>
        </w:rPr>
        <w:t>输入参数值点击“保存并录入”按钮后显示输入的参数，可以通过“重新录入”按钮重新保存参数；</w:t>
      </w:r>
    </w:p>
    <w:p w14:paraId="65FE072F">
      <w:pPr>
        <w:pStyle w:val="2"/>
        <w:ind w:firstLine="0" w:firstLineChars="0"/>
      </w:pPr>
      <w:r>
        <w:drawing>
          <wp:inline distT="0" distB="0" distL="114300" distR="114300">
            <wp:extent cx="5240020" cy="1943100"/>
            <wp:effectExtent l="0" t="0" r="17780" b="0"/>
            <wp:docPr id="5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6"/>
                    <pic:cNvPicPr>
                      <a:picLocks noChangeAspect="1"/>
                    </pic:cNvPicPr>
                  </pic:nvPicPr>
                  <pic:blipFill>
                    <a:blip r:embed="rId60"/>
                    <a:srcRect t="10316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67D8C">
      <w:pPr>
        <w:pStyle w:val="2"/>
        <w:numPr>
          <w:ilvl w:val="0"/>
          <w:numId w:val="11"/>
        </w:numPr>
        <w:ind w:firstLine="420"/>
      </w:pPr>
      <w:r>
        <w:rPr>
          <w:rFonts w:hint="eastAsia"/>
        </w:rPr>
        <w:t>点击“自动计算”按钮可以直接计算出参数，可通过“重新计算”按钮重新计算。</w:t>
      </w:r>
    </w:p>
    <w:p w14:paraId="3FEB5E25">
      <w:pPr>
        <w:pStyle w:val="2"/>
        <w:ind w:left="210" w:firstLine="0" w:firstLineChars="0"/>
      </w:pPr>
      <w:r>
        <w:drawing>
          <wp:inline distT="0" distB="0" distL="114300" distR="114300">
            <wp:extent cx="5243830" cy="1939290"/>
            <wp:effectExtent l="0" t="0" r="13970" b="3810"/>
            <wp:docPr id="5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7"/>
                    <pic:cNvPicPr>
                      <a:picLocks noChangeAspect="1"/>
                    </pic:cNvPicPr>
                  </pic:nvPicPr>
                  <pic:blipFill>
                    <a:blip r:embed="rId61"/>
                    <a:srcRect t="10492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775B4">
      <w:pPr>
        <w:pStyle w:val="2"/>
        <w:ind w:firstLine="0" w:firstLineChars="0"/>
      </w:pPr>
    </w:p>
    <w:p w14:paraId="3EBB4013">
      <w:pPr>
        <w:pStyle w:val="4"/>
      </w:pPr>
      <w:bookmarkStart w:id="75" w:name="_Toc101695119"/>
      <w:r>
        <w:rPr>
          <w:rFonts w:hint="eastAsia"/>
        </w:rPr>
        <w:t>唱标</w:t>
      </w:r>
      <w:bookmarkEnd w:id="75"/>
    </w:p>
    <w:p w14:paraId="3095EFE5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唱标</w:t>
      </w:r>
      <w:r>
        <w:rPr>
          <w:bCs/>
        </w:rPr>
        <w:t>。</w:t>
      </w:r>
    </w:p>
    <w:p w14:paraId="0320F99D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参数抽取完成</w:t>
      </w:r>
      <w:r>
        <w:t>。</w:t>
      </w:r>
    </w:p>
    <w:p w14:paraId="2314B236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6C05819B">
      <w:r>
        <w:rPr>
          <w:rFonts w:hint="eastAsia"/>
        </w:rPr>
        <w:t>1、可以选择单位添加备注信息，备注单位将不进入后续评标环节。</w:t>
      </w:r>
    </w:p>
    <w:p w14:paraId="2A4A0CCC">
      <w:pPr>
        <w:ind w:firstLine="0" w:firstLineChars="0"/>
      </w:pPr>
      <w:r>
        <w:drawing>
          <wp:inline distT="0" distB="0" distL="114300" distR="114300">
            <wp:extent cx="5240020" cy="1936750"/>
            <wp:effectExtent l="0" t="0" r="17780" b="6350"/>
            <wp:docPr id="52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8"/>
                    <pic:cNvPicPr>
                      <a:picLocks noChangeAspect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9C0C1">
      <w:pPr>
        <w:ind w:firstLine="0" w:firstLineChars="0"/>
        <w:jc w:val="both"/>
      </w:pPr>
      <w:r>
        <w:drawing>
          <wp:inline distT="0" distB="0" distL="114300" distR="114300">
            <wp:extent cx="5243830" cy="1928495"/>
            <wp:effectExtent l="0" t="0" r="13970" b="14605"/>
            <wp:docPr id="53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9"/>
                    <pic:cNvPicPr>
                      <a:picLocks noChangeAspect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4A79F">
      <w:r>
        <w:rPr>
          <w:rFonts w:hint="eastAsia"/>
          <w:lang w:val="en-US" w:eastAsia="zh-CN"/>
        </w:rPr>
        <w:t>2</w:t>
      </w:r>
      <w:r>
        <w:rPr>
          <w:rFonts w:hint="eastAsia"/>
        </w:rPr>
        <w:t>、点击“下一阶段”按钮进入下一阶段。</w:t>
      </w:r>
    </w:p>
    <w:p w14:paraId="16AF6172">
      <w:pPr>
        <w:pStyle w:val="2"/>
        <w:ind w:firstLine="0" w:firstLineChars="0"/>
      </w:pPr>
      <w:r>
        <w:drawing>
          <wp:inline distT="0" distB="0" distL="114300" distR="114300">
            <wp:extent cx="5243830" cy="1920240"/>
            <wp:effectExtent l="0" t="0" r="13970" b="3810"/>
            <wp:docPr id="5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2"/>
                    <pic:cNvPicPr>
                      <a:picLocks noChangeAspect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A0E5B">
      <w:pPr>
        <w:pStyle w:val="4"/>
      </w:pPr>
      <w:bookmarkStart w:id="76" w:name="_Toc101695120"/>
      <w:r>
        <w:rPr>
          <w:rFonts w:hint="eastAsia"/>
        </w:rPr>
        <w:t>开标结束</w:t>
      </w:r>
      <w:bookmarkEnd w:id="76"/>
    </w:p>
    <w:p w14:paraId="0B459EE4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开标结束</w:t>
      </w:r>
      <w:r>
        <w:rPr>
          <w:bCs/>
        </w:rPr>
        <w:t>。</w:t>
      </w:r>
    </w:p>
    <w:p w14:paraId="08ED3E8A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唱标结束</w:t>
      </w:r>
      <w:r>
        <w:rPr>
          <w:bCs/>
        </w:rPr>
        <w:t>。</w:t>
      </w:r>
    </w:p>
    <w:p w14:paraId="1084DFF8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5490EA89">
      <w:r>
        <w:rPr>
          <w:rFonts w:hint="eastAsia"/>
        </w:rPr>
        <w:t>点击“开标结束”按钮可以开标结束；页面中间有“开标记录表”按钮，点击可打印开标记录表；</w:t>
      </w:r>
    </w:p>
    <w:p w14:paraId="56826182">
      <w:pPr>
        <w:pStyle w:val="2"/>
        <w:ind w:firstLine="0" w:firstLineChars="0"/>
      </w:pPr>
      <w:r>
        <w:drawing>
          <wp:inline distT="0" distB="0" distL="114300" distR="114300">
            <wp:extent cx="5243830" cy="1942465"/>
            <wp:effectExtent l="0" t="0" r="13970" b="635"/>
            <wp:docPr id="5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3"/>
                    <pic:cNvPicPr>
                      <a:picLocks noChangeAspect="1"/>
                    </pic:cNvPicPr>
                  </pic:nvPicPr>
                  <pic:blipFill>
                    <a:blip r:embed="rId65"/>
                    <a:srcRect t="1003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3ACF7">
      <w:pPr>
        <w:pStyle w:val="2"/>
        <w:ind w:firstLine="0" w:firstLineChars="0"/>
        <w:jc w:val="both"/>
      </w:pPr>
      <w:r>
        <w:drawing>
          <wp:inline distT="0" distB="0" distL="114300" distR="114300">
            <wp:extent cx="5240020" cy="1930400"/>
            <wp:effectExtent l="0" t="0" r="17780" b="12700"/>
            <wp:docPr id="5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64"/>
                    <pic:cNvPicPr>
                      <a:picLocks noChangeAspect="1"/>
                    </pic:cNvPicPr>
                  </pic:nvPicPr>
                  <pic:blipFill>
                    <a:blip r:embed="rId66"/>
                    <a:srcRect t="10902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596B">
      <w:pPr>
        <w:ind w:firstLine="0" w:firstLineChars="0"/>
        <w:jc w:val="both"/>
      </w:pPr>
      <w:r>
        <w:drawing>
          <wp:inline distT="0" distB="0" distL="114300" distR="114300">
            <wp:extent cx="5243830" cy="1907540"/>
            <wp:effectExtent l="0" t="0" r="13970" b="16510"/>
            <wp:docPr id="5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5"/>
                    <pic:cNvPicPr>
                      <a:picLocks noChangeAspect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47F8">
      <w:pPr>
        <w:pStyle w:val="4"/>
      </w:pPr>
      <w:bookmarkStart w:id="77" w:name="_Toc101695121"/>
      <w:r>
        <w:rPr>
          <w:rFonts w:hint="eastAsia"/>
        </w:rPr>
        <w:t>语音异议</w:t>
      </w:r>
      <w:bookmarkEnd w:id="77"/>
    </w:p>
    <w:p w14:paraId="5EC3D6B9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投标人在开标过程中可以通过语音提问给主持人提问，主持人回答</w:t>
      </w:r>
      <w:r>
        <w:rPr>
          <w:bCs/>
        </w:rPr>
        <w:t>。</w:t>
      </w:r>
    </w:p>
    <w:p w14:paraId="1A116B20">
      <w:pPr>
        <w:ind w:firstLine="422"/>
        <w:rPr>
          <w:bCs/>
        </w:rPr>
      </w:pPr>
      <w:r>
        <w:rPr>
          <w:b/>
        </w:rPr>
        <w:t>前置条件：</w:t>
      </w:r>
      <w:r>
        <w:rPr>
          <w:rFonts w:hint="eastAsia"/>
          <w:bCs/>
        </w:rPr>
        <w:t>开标结束之前</w:t>
      </w:r>
      <w:r>
        <w:rPr>
          <w:bCs/>
        </w:rPr>
        <w:t>。</w:t>
      </w:r>
    </w:p>
    <w:p w14:paraId="29475E07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31EEFD3F">
      <w:pPr>
        <w:numPr>
          <w:ilvl w:val="0"/>
          <w:numId w:val="12"/>
        </w:numPr>
      </w:pPr>
      <w:r>
        <w:rPr>
          <w:rFonts w:hint="eastAsia"/>
        </w:rPr>
        <w:t>投标人发起异议之后，直播区域右上角的摄像头图标出现红点提示，点击可查看异议信息；</w:t>
      </w:r>
    </w:p>
    <w:p w14:paraId="38763766">
      <w:pPr>
        <w:ind w:firstLine="0" w:firstLineChars="0"/>
        <w:jc w:val="both"/>
      </w:pPr>
      <w:r>
        <w:drawing>
          <wp:inline distT="0" distB="0" distL="114300" distR="114300">
            <wp:extent cx="5245100" cy="1949450"/>
            <wp:effectExtent l="0" t="0" r="12700" b="12700"/>
            <wp:docPr id="58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6"/>
                    <pic:cNvPicPr>
                      <a:picLocks noChangeAspect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811E8">
      <w:pPr>
        <w:numPr>
          <w:ilvl w:val="0"/>
          <w:numId w:val="12"/>
        </w:numPr>
        <w:jc w:val="both"/>
      </w:pPr>
      <w:r>
        <w:rPr>
          <w:rFonts w:hint="eastAsia"/>
        </w:rPr>
        <w:t>点击绿色接通图标即可与投标人通话，通话之后按钮变为“挂断”按钮，点击“挂断”按钮即可挂断；</w:t>
      </w:r>
    </w:p>
    <w:p w14:paraId="4413C08E">
      <w:pPr>
        <w:pStyle w:val="2"/>
        <w:ind w:firstLine="0" w:firstLineChars="0"/>
      </w:pPr>
      <w:r>
        <w:drawing>
          <wp:inline distT="0" distB="0" distL="114300" distR="114300">
            <wp:extent cx="5245100" cy="1963420"/>
            <wp:effectExtent l="0" t="0" r="12700" b="17780"/>
            <wp:docPr id="5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7"/>
                    <pic:cNvPicPr>
                      <a:picLocks noChangeAspect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EE82B">
      <w:pPr>
        <w:pStyle w:val="4"/>
      </w:pPr>
      <w:bookmarkStart w:id="78" w:name="_Toc101695122"/>
      <w:r>
        <w:rPr>
          <w:rFonts w:hint="eastAsia"/>
        </w:rPr>
        <w:t>文字异议</w:t>
      </w:r>
      <w:bookmarkEnd w:id="78"/>
    </w:p>
    <w:p w14:paraId="50AD98A1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投标人在开标过程中可以通过文字提问给主持人提问，主持人回答</w:t>
      </w:r>
      <w:r>
        <w:rPr>
          <w:bCs/>
        </w:rPr>
        <w:t>。</w:t>
      </w:r>
    </w:p>
    <w:p w14:paraId="2EC53E9E">
      <w:pPr>
        <w:ind w:firstLine="422"/>
        <w:rPr>
          <w:bCs/>
        </w:rPr>
      </w:pPr>
      <w:r>
        <w:rPr>
          <w:b/>
        </w:rPr>
        <w:t>前置条件：</w:t>
      </w:r>
      <w:r>
        <w:rPr>
          <w:rFonts w:hint="eastAsia"/>
          <w:bCs/>
        </w:rPr>
        <w:t>开标结束之前</w:t>
      </w:r>
      <w:r>
        <w:rPr>
          <w:bCs/>
        </w:rPr>
        <w:t>。</w:t>
      </w:r>
    </w:p>
    <w:p w14:paraId="5FFFFCFA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7A98EAE4">
      <w:pPr>
        <w:numPr>
          <w:ilvl w:val="0"/>
          <w:numId w:val="13"/>
        </w:numPr>
        <w:ind w:firstLineChars="0"/>
      </w:pPr>
      <w:r>
        <w:rPr>
          <w:rFonts w:hint="eastAsia"/>
        </w:rPr>
        <w:t>投标人发起异议之后，右下角“异议答复”按钮上会有红点提醒，点击“异议答复”可查看异议信息；</w:t>
      </w:r>
    </w:p>
    <w:p w14:paraId="5778387E">
      <w:pPr>
        <w:ind w:firstLine="0" w:firstLineChars="0"/>
        <w:jc w:val="both"/>
      </w:pPr>
      <w:r>
        <w:drawing>
          <wp:inline distT="0" distB="0" distL="114300" distR="114300">
            <wp:extent cx="5243830" cy="1986915"/>
            <wp:effectExtent l="0" t="0" r="13970" b="13335"/>
            <wp:docPr id="60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8"/>
                    <pic:cNvPicPr>
                      <a:picLocks noChangeAspect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C29CB">
      <w:pPr>
        <w:ind w:firstLine="0" w:firstLineChars="0"/>
        <w:jc w:val="both"/>
      </w:pPr>
      <w:r>
        <w:drawing>
          <wp:inline distT="0" distB="0" distL="114300" distR="114300">
            <wp:extent cx="5243830" cy="1990725"/>
            <wp:effectExtent l="0" t="0" r="13970" b="9525"/>
            <wp:docPr id="61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9"/>
                    <pic:cNvPicPr>
                      <a:picLocks noChangeAspect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C196D">
      <w:pPr>
        <w:numPr>
          <w:ilvl w:val="0"/>
          <w:numId w:val="13"/>
        </w:numPr>
        <w:jc w:val="both"/>
      </w:pPr>
      <w:r>
        <w:rPr>
          <w:rFonts w:hint="eastAsia"/>
        </w:rPr>
        <w:t>点击未回复的异议可以进行回复</w:t>
      </w:r>
    </w:p>
    <w:p w14:paraId="64E84BC7">
      <w:pPr>
        <w:ind w:firstLine="0" w:firstLineChars="0"/>
      </w:pPr>
      <w:r>
        <w:drawing>
          <wp:inline distT="0" distB="0" distL="114300" distR="114300">
            <wp:extent cx="5243830" cy="1978660"/>
            <wp:effectExtent l="0" t="0" r="13970" b="2540"/>
            <wp:docPr id="62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70"/>
                    <pic:cNvPicPr>
                      <a:picLocks noChangeAspect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001B0">
      <w:pPr>
        <w:ind w:firstLine="0" w:firstLineChars="0"/>
      </w:pPr>
      <w:r>
        <w:drawing>
          <wp:inline distT="0" distB="0" distL="114300" distR="114300">
            <wp:extent cx="5243830" cy="2032635"/>
            <wp:effectExtent l="0" t="0" r="13970" b="5715"/>
            <wp:docPr id="63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71"/>
                    <pic:cNvPicPr>
                      <a:picLocks noChangeAspect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D821A"/>
    <w:p w14:paraId="2FB4C5A9"/>
    <w:p w14:paraId="450FB04C">
      <w:pPr>
        <w:pStyle w:val="4"/>
      </w:pPr>
      <w:bookmarkStart w:id="79" w:name="_Toc101695123"/>
      <w:r>
        <w:rPr>
          <w:rFonts w:hint="eastAsia"/>
        </w:rPr>
        <w:t>终止开标</w:t>
      </w:r>
      <w:bookmarkEnd w:id="79"/>
    </w:p>
    <w:p w14:paraId="05EB3907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主持人在开标过程中发现有异常情况需要流标</w:t>
      </w:r>
      <w:r>
        <w:rPr>
          <w:bCs/>
        </w:rPr>
        <w:t>。</w:t>
      </w:r>
    </w:p>
    <w:p w14:paraId="2BF7826F">
      <w:pPr>
        <w:ind w:firstLine="422"/>
        <w:rPr>
          <w:bCs/>
        </w:rPr>
      </w:pPr>
      <w:r>
        <w:rPr>
          <w:b/>
        </w:rPr>
        <w:t>前置条件：</w:t>
      </w:r>
    </w:p>
    <w:p w14:paraId="51539B57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0F7B293B">
      <w:r>
        <w:rPr>
          <w:rFonts w:hint="eastAsia"/>
        </w:rPr>
        <w:t>右下部分有“终止开标”按钮，点击“终止开标”按钮，录入原因，点击确认之后将流标；</w:t>
      </w:r>
    </w:p>
    <w:p w14:paraId="02E980FF">
      <w:pPr>
        <w:ind w:firstLine="0" w:firstLineChars="0"/>
      </w:pPr>
      <w:r>
        <w:drawing>
          <wp:inline distT="0" distB="0" distL="114300" distR="114300">
            <wp:extent cx="5243830" cy="1971040"/>
            <wp:effectExtent l="0" t="0" r="13970" b="10160"/>
            <wp:docPr id="64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72"/>
                    <pic:cNvPicPr>
                      <a:picLocks noChangeAspect="1"/>
                    </pic:cNvPicPr>
                  </pic:nvPicPr>
                  <pic:blipFill>
                    <a:blip r:embed="rId74"/>
                    <a:srcRect t="1067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671D4">
      <w:pPr>
        <w:ind w:firstLine="0" w:firstLineChars="0"/>
      </w:pPr>
      <w:r>
        <w:drawing>
          <wp:inline distT="0" distB="0" distL="114300" distR="114300">
            <wp:extent cx="5243830" cy="1958975"/>
            <wp:effectExtent l="0" t="0" r="13970" b="3175"/>
            <wp:docPr id="65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73"/>
                    <pic:cNvPicPr>
                      <a:picLocks noChangeAspect="1"/>
                    </pic:cNvPicPr>
                  </pic:nvPicPr>
                  <pic:blipFill>
                    <a:blip r:embed="rId75"/>
                    <a:srcRect t="1106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9BEE4">
      <w:pPr>
        <w:ind w:firstLine="0" w:firstLineChars="0"/>
      </w:pPr>
    </w:p>
    <w:p w14:paraId="5D2CF862">
      <w:pPr>
        <w:pStyle w:val="4"/>
      </w:pPr>
      <w:bookmarkStart w:id="80" w:name="_Toc101695124"/>
      <w:r>
        <w:rPr>
          <w:rFonts w:hint="eastAsia"/>
        </w:rPr>
        <w:t>公告栏</w:t>
      </w:r>
      <w:bookmarkEnd w:id="80"/>
    </w:p>
    <w:p w14:paraId="2141B35A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显示当前阶段信息、主持人参数抽取、暂停、解密等信息</w:t>
      </w:r>
      <w:r>
        <w:rPr>
          <w:bCs/>
        </w:rPr>
        <w:t>。</w:t>
      </w:r>
    </w:p>
    <w:p w14:paraId="708A3ED0">
      <w:pPr>
        <w:ind w:firstLine="422"/>
        <w:rPr>
          <w:bCs/>
        </w:rPr>
      </w:pPr>
      <w:r>
        <w:rPr>
          <w:b/>
        </w:rPr>
        <w:t>前置条件：</w:t>
      </w:r>
    </w:p>
    <w:p w14:paraId="02989778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32F78B45">
      <w:r>
        <w:rPr>
          <w:rFonts w:hint="eastAsia"/>
        </w:rPr>
        <w:t>右侧下部分是公告栏，主要展示阶段信息、主持人参数抽取、解密等信息；点击右上角放大镜可查看更多；</w:t>
      </w:r>
    </w:p>
    <w:p w14:paraId="5DA6A424">
      <w:pPr>
        <w:ind w:firstLine="0" w:firstLineChars="0"/>
      </w:pPr>
      <w:r>
        <w:drawing>
          <wp:inline distT="0" distB="0" distL="114300" distR="114300">
            <wp:extent cx="5245100" cy="1951355"/>
            <wp:effectExtent l="0" t="0" r="12700" b="10795"/>
            <wp:docPr id="66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74"/>
                    <pic:cNvPicPr>
                      <a:picLocks noChangeAspect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F442">
      <w:pPr>
        <w:ind w:firstLine="0" w:firstLineChars="0"/>
      </w:pPr>
      <w:r>
        <w:drawing>
          <wp:inline distT="0" distB="0" distL="114300" distR="114300">
            <wp:extent cx="5243830" cy="2007235"/>
            <wp:effectExtent l="0" t="0" r="13970" b="12065"/>
            <wp:docPr id="67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75"/>
                    <pic:cNvPicPr>
                      <a:picLocks noChangeAspect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E797F">
      <w:pPr>
        <w:ind w:firstLine="0" w:firstLineChars="0"/>
      </w:pPr>
    </w:p>
    <w:p w14:paraId="78B7B7BA">
      <w:pPr>
        <w:pStyle w:val="4"/>
      </w:pPr>
      <w:bookmarkStart w:id="81" w:name="_Toc101695125"/>
      <w:r>
        <w:rPr>
          <w:rFonts w:hint="eastAsia"/>
        </w:rPr>
        <w:t>群聊</w:t>
      </w:r>
      <w:bookmarkEnd w:id="81"/>
    </w:p>
    <w:p w14:paraId="3B105C6C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主持人可以和投标人在线交流</w:t>
      </w:r>
      <w:r>
        <w:rPr>
          <w:bCs/>
        </w:rPr>
        <w:t>。</w:t>
      </w:r>
    </w:p>
    <w:p w14:paraId="7DB66CD4">
      <w:pPr>
        <w:ind w:firstLine="422"/>
        <w:rPr>
          <w:bCs/>
        </w:rPr>
      </w:pPr>
      <w:r>
        <w:rPr>
          <w:b/>
        </w:rPr>
        <w:t>前置条件：</w:t>
      </w:r>
    </w:p>
    <w:p w14:paraId="5A79F9CC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1470FFD2">
      <w:pPr>
        <w:numPr>
          <w:ilvl w:val="0"/>
          <w:numId w:val="14"/>
        </w:numPr>
      </w:pPr>
      <w:r>
        <w:rPr>
          <w:rFonts w:hint="eastAsia"/>
        </w:rPr>
        <w:t>聊天区域右上角的齿轮图标中可以勾选是否开启私聊或者群聊，勾选群聊选项开启群聊。</w:t>
      </w:r>
    </w:p>
    <w:p w14:paraId="4E12E6AB">
      <w:pPr>
        <w:ind w:firstLine="0" w:firstLineChars="0"/>
      </w:pPr>
      <w:r>
        <w:drawing>
          <wp:inline distT="0" distB="0" distL="114300" distR="114300">
            <wp:extent cx="5243830" cy="1961515"/>
            <wp:effectExtent l="0" t="0" r="13970" b="635"/>
            <wp:docPr id="68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76"/>
                    <pic:cNvPicPr>
                      <a:picLocks noChangeAspect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A8732">
      <w:pPr>
        <w:ind w:left="420" w:leftChars="200" w:firstLine="0" w:firstLineChars="0"/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、点击 </w:t>
      </w:r>
      <w:r>
        <w:drawing>
          <wp:inline distT="0" distB="0" distL="114300" distR="114300">
            <wp:extent cx="298450" cy="309880"/>
            <wp:effectExtent l="0" t="0" r="6350" b="13970"/>
            <wp:docPr id="74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可以发送文件；</w:t>
      </w:r>
    </w:p>
    <w:p w14:paraId="40617609">
      <w:r>
        <w:rPr>
          <w:rFonts w:hint="eastAsia"/>
        </w:rPr>
        <w:t>支持的文件后缀：</w:t>
      </w:r>
      <w:r>
        <w:t>.doc、.docx、.txt、.rar、.jpg、.jpeg、.pdf、.xls、.xlsx、.gif、.bmp、.png、.zip、</w:t>
      </w:r>
    </w:p>
    <w:p w14:paraId="75FA0E2F">
      <w:pPr>
        <w:ind w:firstLine="0" w:firstLineChars="0"/>
      </w:pPr>
      <w:r>
        <w:t>.avi、.mp3、.mp4、.7z；</w:t>
      </w:r>
    </w:p>
    <w:p w14:paraId="14FF15E4">
      <w:pPr>
        <w:ind w:firstLine="0" w:firstLineChars="0"/>
      </w:pPr>
      <w:r>
        <w:drawing>
          <wp:inline distT="0" distB="0" distL="114300" distR="114300">
            <wp:extent cx="5243830" cy="1961515"/>
            <wp:effectExtent l="0" t="0" r="13970" b="635"/>
            <wp:docPr id="75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83"/>
                    <pic:cNvPicPr>
                      <a:picLocks noChangeAspect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78633">
      <w:pPr>
        <w:ind w:firstLine="0" w:firstLineChars="0"/>
      </w:pPr>
    </w:p>
    <w:p w14:paraId="6AE4191C">
      <w:pPr>
        <w:pStyle w:val="4"/>
      </w:pPr>
      <w:bookmarkStart w:id="82" w:name="_Toc101695126"/>
      <w:r>
        <w:rPr>
          <w:rFonts w:hint="eastAsia"/>
        </w:rPr>
        <w:t>开标小组聊天</w:t>
      </w:r>
      <w:bookmarkEnd w:id="82"/>
    </w:p>
    <w:p w14:paraId="4BA4250F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开标小组成员可以互相交流、聊天</w:t>
      </w:r>
      <w:r>
        <w:rPr>
          <w:bCs/>
        </w:rPr>
        <w:t>。</w:t>
      </w:r>
    </w:p>
    <w:p w14:paraId="732E7ADA">
      <w:pPr>
        <w:ind w:firstLine="422"/>
        <w:rPr>
          <w:bCs/>
        </w:rPr>
      </w:pPr>
      <w:r>
        <w:rPr>
          <w:b/>
        </w:rPr>
        <w:t>前置条件：</w:t>
      </w:r>
    </w:p>
    <w:p w14:paraId="592BE532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04048D81">
      <w:r>
        <w:rPr>
          <w:rFonts w:hint="eastAsia"/>
        </w:rPr>
        <w:t>开标小组成员：招标人、招标代理、监管人、公证人、交易中心人员</w:t>
      </w:r>
    </w:p>
    <w:p w14:paraId="3DB53547">
      <w:pPr>
        <w:ind w:firstLine="0" w:firstLineChars="0"/>
      </w:pPr>
      <w:r>
        <w:drawing>
          <wp:inline distT="0" distB="0" distL="114300" distR="114300">
            <wp:extent cx="5243830" cy="1974215"/>
            <wp:effectExtent l="0" t="0" r="13970" b="6985"/>
            <wp:docPr id="76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84"/>
                    <pic:cNvPicPr>
                      <a:picLocks noChangeAspect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9AD19">
      <w:pPr>
        <w:pStyle w:val="4"/>
      </w:pPr>
      <w:bookmarkStart w:id="83" w:name="_Toc101695127"/>
      <w:r>
        <w:rPr>
          <w:rFonts w:hint="eastAsia"/>
        </w:rPr>
        <w:t>直播</w:t>
      </w:r>
      <w:bookmarkEnd w:id="83"/>
    </w:p>
    <w:p w14:paraId="33027CC9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可以通过直播看到开标室的场景、主持人的桌面以及主持人近景</w:t>
      </w:r>
    </w:p>
    <w:p w14:paraId="017A09A8">
      <w:pPr>
        <w:ind w:firstLine="422"/>
        <w:rPr>
          <w:bCs/>
        </w:rPr>
      </w:pPr>
      <w:r>
        <w:rPr>
          <w:b/>
        </w:rPr>
        <w:t>前置条件：</w:t>
      </w:r>
    </w:p>
    <w:p w14:paraId="41D13551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11F7429D">
      <w:r>
        <w:rPr>
          <w:rFonts w:hint="eastAsia"/>
        </w:rPr>
        <w:t>1、勾选“环境监控”开启环境监控，所有人都可以通过切换至场景看到开标室的场景画面，取消勾选“环境监控”关闭环境监控，所有人的场景画面将关闭。</w:t>
      </w:r>
    </w:p>
    <w:p w14:paraId="55C34C56">
      <w:pPr>
        <w:ind w:firstLine="0" w:firstLineChars="0"/>
      </w:pPr>
      <w:r>
        <w:drawing>
          <wp:inline distT="0" distB="0" distL="114300" distR="114300">
            <wp:extent cx="5243830" cy="1955800"/>
            <wp:effectExtent l="0" t="0" r="13970" b="6350"/>
            <wp:docPr id="77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5"/>
                    <pic:cNvPicPr>
                      <a:picLocks noChangeAspect="1"/>
                    </pic:cNvPicPr>
                  </pic:nvPicPr>
                  <pic:blipFill>
                    <a:blip r:embed="rId82"/>
                    <a:srcRect t="1152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46E23">
      <w:pPr>
        <w:ind w:firstLine="0" w:firstLineChars="0"/>
      </w:pPr>
      <w:r>
        <w:drawing>
          <wp:inline distT="0" distB="0" distL="114300" distR="114300">
            <wp:extent cx="5247640" cy="1983740"/>
            <wp:effectExtent l="0" t="0" r="10160" b="16510"/>
            <wp:docPr id="78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8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07F7">
      <w:pPr>
        <w:ind w:left="420" w:leftChars="200" w:firstLine="0" w:firstLineChars="0"/>
      </w:pPr>
      <w:r>
        <w:rPr>
          <w:rFonts w:hint="eastAsia"/>
        </w:rPr>
        <w:t>2、勾选“主持人桌面”，分享主持人的桌面。</w:t>
      </w:r>
    </w:p>
    <w:p w14:paraId="08C83AA4">
      <w:pPr>
        <w:pStyle w:val="2"/>
        <w:ind w:firstLine="0" w:firstLineChars="0"/>
      </w:pPr>
      <w:r>
        <w:drawing>
          <wp:inline distT="0" distB="0" distL="114300" distR="114300">
            <wp:extent cx="5243830" cy="1957705"/>
            <wp:effectExtent l="0" t="0" r="13970" b="4445"/>
            <wp:docPr id="79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7"/>
                    <pic:cNvPicPr>
                      <a:picLocks noChangeAspect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E69FE">
      <w:pPr>
        <w:numPr>
          <w:ilvl w:val="0"/>
          <w:numId w:val="14"/>
        </w:numPr>
      </w:pPr>
      <w:r>
        <w:rPr>
          <w:rFonts w:hint="eastAsia"/>
        </w:rPr>
        <w:t>勾选“主持人近景”，打开主持人电脑上的摄像头，可以看到主持人。</w:t>
      </w:r>
    </w:p>
    <w:p w14:paraId="00B4F987">
      <w:pPr>
        <w:pStyle w:val="2"/>
        <w:ind w:firstLine="0" w:firstLineChars="0"/>
      </w:pPr>
      <w:r>
        <w:drawing>
          <wp:inline distT="0" distB="0" distL="114300" distR="114300">
            <wp:extent cx="5243830" cy="1970405"/>
            <wp:effectExtent l="0" t="0" r="13970" b="10795"/>
            <wp:docPr id="80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8"/>
                    <pic:cNvPicPr>
                      <a:picLocks noChangeAspect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56678">
      <w:pPr>
        <w:ind w:firstLine="0" w:firstLineChars="0"/>
      </w:pPr>
    </w:p>
    <w:p w14:paraId="4AC8E5E6">
      <w:pPr>
        <w:ind w:firstLine="0" w:firstLineChars="0"/>
      </w:pPr>
    </w:p>
    <w:p w14:paraId="18287642">
      <w:pPr>
        <w:pStyle w:val="4"/>
      </w:pPr>
      <w:bookmarkStart w:id="84" w:name="_Toc101695128"/>
      <w:r>
        <w:rPr>
          <w:rFonts w:hint="eastAsia"/>
        </w:rPr>
        <w:t>流程回看</w:t>
      </w:r>
      <w:bookmarkEnd w:id="84"/>
    </w:p>
    <w:p w14:paraId="634D8350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可对已结束的流程进行回看</w:t>
      </w:r>
    </w:p>
    <w:p w14:paraId="2FB37CE3">
      <w:pPr>
        <w:ind w:firstLine="422"/>
        <w:rPr>
          <w:bCs/>
        </w:rPr>
      </w:pPr>
      <w:r>
        <w:rPr>
          <w:b/>
        </w:rPr>
        <w:t>前置条件：</w:t>
      </w:r>
    </w:p>
    <w:p w14:paraId="13CAEEBA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6B351C60">
      <w:r>
        <w:rPr>
          <w:rFonts w:hint="eastAsia"/>
        </w:rPr>
        <w:t>已结束的流程以勾号图标表示，进行中的流程以三个点图标表示，未开始的流程以沙漏图标表示；鼠标点击可以查看已结束和进行中的流程。</w:t>
      </w:r>
    </w:p>
    <w:p w14:paraId="6F8E81AA">
      <w:pPr>
        <w:ind w:firstLine="0" w:firstLineChars="0"/>
      </w:pPr>
      <w:r>
        <w:drawing>
          <wp:inline distT="0" distB="0" distL="114300" distR="114300">
            <wp:extent cx="5243830" cy="1986915"/>
            <wp:effectExtent l="0" t="0" r="13970" b="13335"/>
            <wp:docPr id="81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9"/>
                    <pic:cNvPicPr>
                      <a:picLocks noChangeAspect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3B16"/>
    <w:p w14:paraId="35149D39">
      <w:pPr>
        <w:pStyle w:val="4"/>
      </w:pPr>
      <w:bookmarkStart w:id="85" w:name="_Toc101695129"/>
      <w:r>
        <w:rPr>
          <w:rFonts w:hint="eastAsia"/>
        </w:rPr>
        <w:t>私聊</w:t>
      </w:r>
      <w:bookmarkEnd w:id="85"/>
    </w:p>
    <w:p w14:paraId="72E07290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主持人可以和投标人进行私聊。</w:t>
      </w:r>
    </w:p>
    <w:p w14:paraId="2797FCDE">
      <w:pPr>
        <w:ind w:firstLine="422"/>
        <w:rPr>
          <w:bCs/>
        </w:rPr>
      </w:pPr>
      <w:r>
        <w:rPr>
          <w:b/>
        </w:rPr>
        <w:t>前置条件：</w:t>
      </w:r>
      <w:r>
        <w:rPr>
          <w:rFonts w:hint="eastAsia"/>
          <w:bCs/>
        </w:rPr>
        <w:t>开启私聊</w:t>
      </w:r>
    </w:p>
    <w:p w14:paraId="0CCCA28C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21849CCB">
      <w:r>
        <w:rPr>
          <w:rFonts w:hint="eastAsia"/>
        </w:rPr>
        <w:t>1、点击聊天区域的私聊按钮</w:t>
      </w:r>
    </w:p>
    <w:p w14:paraId="777FD99B">
      <w:pPr>
        <w:ind w:firstLine="0" w:firstLineChars="0"/>
      </w:pPr>
      <w:r>
        <w:drawing>
          <wp:inline distT="0" distB="0" distL="114300" distR="114300">
            <wp:extent cx="5243830" cy="1928495"/>
            <wp:effectExtent l="0" t="0" r="13970" b="14605"/>
            <wp:docPr id="82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90"/>
                    <pic:cNvPicPr>
                      <a:picLocks noChangeAspect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C028B">
      <w:pPr>
        <w:ind w:firstLine="210" w:firstLineChars="100"/>
      </w:pPr>
      <w:r>
        <w:rPr>
          <w:rFonts w:hint="eastAsia"/>
        </w:rPr>
        <w:t>2、弹出单位列表页面，点击私聊按钮（只能选择在线的投标人）</w:t>
      </w:r>
    </w:p>
    <w:p w14:paraId="738A9CC8">
      <w:pPr>
        <w:ind w:firstLine="0" w:firstLineChars="0"/>
      </w:pPr>
      <w:r>
        <w:drawing>
          <wp:inline distT="0" distB="0" distL="114300" distR="114300">
            <wp:extent cx="4810125" cy="1905000"/>
            <wp:effectExtent l="0" t="0" r="9525" b="0"/>
            <wp:docPr id="83" name="图片 91" descr="PR59TD)H@PS)QPN7OIFS3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91" descr="PR59TD)H@PS)QPN7OIFS3OV"/>
                    <pic:cNvPicPr>
                      <a:picLocks noChangeAspect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DA276">
      <w:pPr>
        <w:ind w:firstLine="210" w:firstLineChars="100"/>
      </w:pPr>
      <w:r>
        <w:rPr>
          <w:rFonts w:hint="eastAsia"/>
        </w:rPr>
        <w:t>3、弹出私聊对话框，主持人可与投标人进行私聊。</w:t>
      </w:r>
    </w:p>
    <w:p w14:paraId="4B3E61CF">
      <w:pPr>
        <w:ind w:firstLine="0" w:firstLineChars="0"/>
      </w:pPr>
      <w:r>
        <w:drawing>
          <wp:inline distT="0" distB="0" distL="114300" distR="114300">
            <wp:extent cx="5243830" cy="1949450"/>
            <wp:effectExtent l="0" t="0" r="13970" b="12700"/>
            <wp:docPr id="84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2"/>
                    <pic:cNvPicPr>
                      <a:picLocks noChangeAspect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B0CFB">
      <w:pPr>
        <w:ind w:firstLine="210" w:firstLineChars="100"/>
      </w:pPr>
      <w:r>
        <w:rPr>
          <w:rFonts w:hint="eastAsia"/>
        </w:rPr>
        <w:t>4、点击“私聊记录”，可显示历史聊天记录。</w:t>
      </w:r>
    </w:p>
    <w:p w14:paraId="7B6DB74C">
      <w:pPr>
        <w:ind w:firstLine="0" w:firstLineChars="0"/>
      </w:pPr>
      <w:r>
        <w:drawing>
          <wp:inline distT="0" distB="0" distL="114300" distR="114300">
            <wp:extent cx="5243830" cy="1957705"/>
            <wp:effectExtent l="0" t="0" r="13970" b="4445"/>
            <wp:docPr id="85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93"/>
                    <pic:cNvPicPr>
                      <a:picLocks noChangeAspect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DCEB4">
      <w:pPr>
        <w:ind w:firstLine="0" w:firstLineChars="0"/>
      </w:pPr>
    </w:p>
    <w:p w14:paraId="018F9F0B">
      <w:pPr>
        <w:pStyle w:val="4"/>
      </w:pPr>
      <w:bookmarkStart w:id="86" w:name="_Toc101695130"/>
      <w:r>
        <w:rPr>
          <w:rFonts w:hint="eastAsia"/>
        </w:rPr>
        <w:t>人员列表</w:t>
      </w:r>
      <w:bookmarkEnd w:id="86"/>
    </w:p>
    <w:p w14:paraId="7DD51FB1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显示所有的投标人及游客，可以踢出。</w:t>
      </w:r>
    </w:p>
    <w:p w14:paraId="742DBA11">
      <w:pPr>
        <w:ind w:firstLine="422"/>
        <w:rPr>
          <w:bCs/>
        </w:rPr>
      </w:pPr>
      <w:r>
        <w:rPr>
          <w:b/>
        </w:rPr>
        <w:t>前置条件：</w:t>
      </w:r>
    </w:p>
    <w:p w14:paraId="194811CB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7CDF56B5">
      <w:r>
        <w:rPr>
          <w:rFonts w:hint="eastAsia"/>
        </w:rPr>
        <w:t>点击右上方快捷菜单中的“人员列表”按钮，可查看投标人、游客的登陆信息</w:t>
      </w:r>
    </w:p>
    <w:p w14:paraId="1F0E6647">
      <w:pPr>
        <w:ind w:firstLine="0" w:firstLineChars="0"/>
      </w:pPr>
      <w:r>
        <w:drawing>
          <wp:inline distT="0" distB="0" distL="114300" distR="114300">
            <wp:extent cx="5240020" cy="1911985"/>
            <wp:effectExtent l="0" t="0" r="17780" b="12065"/>
            <wp:docPr id="86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94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66379">
      <w:pPr>
        <w:ind w:firstLine="0" w:firstLineChars="0"/>
      </w:pPr>
      <w:r>
        <w:drawing>
          <wp:inline distT="0" distB="0" distL="114300" distR="114300">
            <wp:extent cx="5247640" cy="1928495"/>
            <wp:effectExtent l="0" t="0" r="10160" b="14605"/>
            <wp:docPr id="87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95"/>
                    <pic:cNvPicPr>
                      <a:picLocks noChangeAspect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443B3">
      <w:pPr>
        <w:ind w:firstLine="0" w:firstLineChars="0"/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797" w:bottom="1440" w:left="1843" w:header="79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6E179">
    <w:pPr>
      <w:pStyle w:val="2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7A759">
    <w:pPr>
      <w:pStyle w:val="2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8451D">
    <w:pPr>
      <w:pStyle w:val="28"/>
      <w:pBdr>
        <w:bottom w:val="none" w:color="auto" w:sz="0" w:space="0"/>
      </w:pBdr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989D4">
    <w:pPr>
      <w:pStyle w:val="2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1D8E5">
    <w:pPr>
      <w:pStyle w:val="2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B7B88"/>
    <w:multiLevelType w:val="singleLevel"/>
    <w:tmpl w:val="811B7B88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8722D77A"/>
    <w:multiLevelType w:val="singleLevel"/>
    <w:tmpl w:val="8722D77A"/>
    <w:lvl w:ilvl="0" w:tentative="0">
      <w:start w:val="1"/>
      <w:numFmt w:val="decimal"/>
      <w:suff w:val="space"/>
      <w:lvlText w:val="%1、"/>
      <w:lvlJc w:val="left"/>
    </w:lvl>
  </w:abstractNum>
  <w:abstractNum w:abstractNumId="2">
    <w:nsid w:val="9580A199"/>
    <w:multiLevelType w:val="singleLevel"/>
    <w:tmpl w:val="9580A199"/>
    <w:lvl w:ilvl="0" w:tentative="0">
      <w:start w:val="7"/>
      <w:numFmt w:val="decimal"/>
      <w:suff w:val="nothing"/>
      <w:lvlText w:val="%1、"/>
      <w:lvlJc w:val="left"/>
      <w:pPr>
        <w:ind w:left="210" w:firstLine="0"/>
      </w:pPr>
    </w:lvl>
  </w:abstractNum>
  <w:abstractNum w:abstractNumId="3">
    <w:nsid w:val="AB523791"/>
    <w:multiLevelType w:val="singleLevel"/>
    <w:tmpl w:val="AB523791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B8CF6A8C"/>
    <w:multiLevelType w:val="singleLevel"/>
    <w:tmpl w:val="B8CF6A8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BE14EF26"/>
    <w:multiLevelType w:val="singleLevel"/>
    <w:tmpl w:val="BE14EF26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D75E355F"/>
    <w:multiLevelType w:val="singleLevel"/>
    <w:tmpl w:val="D75E355F"/>
    <w:lvl w:ilvl="0" w:tentative="0">
      <w:start w:val="1"/>
      <w:numFmt w:val="decimal"/>
      <w:suff w:val="space"/>
      <w:lvlText w:val="%1、"/>
      <w:lvlJc w:val="left"/>
    </w:lvl>
  </w:abstractNum>
  <w:abstractNum w:abstractNumId="7">
    <w:nsid w:val="17E6127E"/>
    <w:multiLevelType w:val="singleLevel"/>
    <w:tmpl w:val="17E6127E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2DE5D394"/>
    <w:multiLevelType w:val="singleLevel"/>
    <w:tmpl w:val="2DE5D394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42E053CB"/>
    <w:multiLevelType w:val="singleLevel"/>
    <w:tmpl w:val="42E053CB"/>
    <w:lvl w:ilvl="0" w:tentative="0">
      <w:start w:val="1"/>
      <w:numFmt w:val="decimal"/>
      <w:suff w:val="space"/>
      <w:lvlText w:val="%1、"/>
      <w:lvlJc w:val="left"/>
    </w:lvl>
  </w:abstractNum>
  <w:abstractNum w:abstractNumId="10">
    <w:nsid w:val="487F6CB8"/>
    <w:multiLevelType w:val="multilevel"/>
    <w:tmpl w:val="487F6CB8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4E6D15E7"/>
    <w:multiLevelType w:val="singleLevel"/>
    <w:tmpl w:val="4E6D15E7"/>
    <w:lvl w:ilvl="0" w:tentative="0">
      <w:start w:val="1"/>
      <w:numFmt w:val="decimal"/>
      <w:suff w:val="space"/>
      <w:lvlText w:val="%1、"/>
      <w:lvlJc w:val="left"/>
    </w:lvl>
  </w:abstractNum>
  <w:abstractNum w:abstractNumId="12">
    <w:nsid w:val="5C4C21CA"/>
    <w:multiLevelType w:val="multilevel"/>
    <w:tmpl w:val="5C4C21CA"/>
    <w:lvl w:ilvl="0" w:tentative="0">
      <w:start w:val="1"/>
      <w:numFmt w:val="chineseCountingThousand"/>
      <w:pStyle w:val="3"/>
      <w:lvlText w:val="%1、"/>
      <w:lvlJc w:val="left"/>
      <w:pPr>
        <w:ind w:left="0" w:firstLine="0"/>
      </w:pPr>
      <w:rPr>
        <w:rFonts w:hint="eastAsia"/>
        <w:b/>
        <w:lang w:val="en-US"/>
      </w:rPr>
    </w:lvl>
    <w:lvl w:ilvl="1" w:tentative="0">
      <w:start w:val="1"/>
      <w:numFmt w:val="decimal"/>
      <w:pStyle w:val="4"/>
      <w:isLgl/>
      <w:lvlText w:val="%1.%2、"/>
      <w:lvlJc w:val="left"/>
      <w:pPr>
        <w:ind w:left="142" w:firstLine="0"/>
      </w:pPr>
      <w:rPr>
        <w:rFonts w:hint="eastAsia"/>
        <w:b/>
        <w:color w:val="auto"/>
        <w:sz w:val="30"/>
        <w:szCs w:val="30"/>
      </w:rPr>
    </w:lvl>
    <w:lvl w:ilvl="2" w:tentative="0">
      <w:start w:val="1"/>
      <w:numFmt w:val="decimal"/>
      <w:pStyle w:val="5"/>
      <w:isLgl/>
      <w:lvlText w:val="%1.%2.%3、"/>
      <w:lvlJc w:val="left"/>
      <w:pPr>
        <w:ind w:left="142" w:firstLine="0"/>
      </w:pPr>
      <w:rPr>
        <w:rFonts w:hint="eastAsia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13">
    <w:nsid w:val="5D3040A6"/>
    <w:multiLevelType w:val="multilevel"/>
    <w:tmpl w:val="5D3040A6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3"/>
  </w:num>
  <w:num w:numId="11">
    <w:abstractNumId w:val="2"/>
  </w:num>
  <w:num w:numId="12">
    <w:abstractNumId w:val="0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50"/>
  <w:drawingGridHorizontalSpacing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F0"/>
    <w:rsid w:val="000008CC"/>
    <w:rsid w:val="000055A5"/>
    <w:rsid w:val="00010CBD"/>
    <w:rsid w:val="00011CFA"/>
    <w:rsid w:val="0001527E"/>
    <w:rsid w:val="00016767"/>
    <w:rsid w:val="000172A3"/>
    <w:rsid w:val="0001797B"/>
    <w:rsid w:val="00022804"/>
    <w:rsid w:val="00023A04"/>
    <w:rsid w:val="0002739E"/>
    <w:rsid w:val="00030DCB"/>
    <w:rsid w:val="00033479"/>
    <w:rsid w:val="0003636D"/>
    <w:rsid w:val="00041C41"/>
    <w:rsid w:val="00042CDB"/>
    <w:rsid w:val="00043FEA"/>
    <w:rsid w:val="000474A1"/>
    <w:rsid w:val="000504A3"/>
    <w:rsid w:val="000545A2"/>
    <w:rsid w:val="00055DA0"/>
    <w:rsid w:val="000569F3"/>
    <w:rsid w:val="00061638"/>
    <w:rsid w:val="000627A0"/>
    <w:rsid w:val="0006736D"/>
    <w:rsid w:val="000713EB"/>
    <w:rsid w:val="000735CC"/>
    <w:rsid w:val="00077333"/>
    <w:rsid w:val="0007749F"/>
    <w:rsid w:val="000908A7"/>
    <w:rsid w:val="000A1F59"/>
    <w:rsid w:val="000A5383"/>
    <w:rsid w:val="000B274F"/>
    <w:rsid w:val="000C0A2E"/>
    <w:rsid w:val="000D0F98"/>
    <w:rsid w:val="000D36CA"/>
    <w:rsid w:val="000D6697"/>
    <w:rsid w:val="000D7A34"/>
    <w:rsid w:val="000E400A"/>
    <w:rsid w:val="000E4C61"/>
    <w:rsid w:val="000E7391"/>
    <w:rsid w:val="000F24C7"/>
    <w:rsid w:val="000F76CA"/>
    <w:rsid w:val="00117CB9"/>
    <w:rsid w:val="00124493"/>
    <w:rsid w:val="0012646F"/>
    <w:rsid w:val="00135F1D"/>
    <w:rsid w:val="0013617A"/>
    <w:rsid w:val="001420A2"/>
    <w:rsid w:val="001468E5"/>
    <w:rsid w:val="001539FE"/>
    <w:rsid w:val="00157859"/>
    <w:rsid w:val="00160236"/>
    <w:rsid w:val="001616B9"/>
    <w:rsid w:val="00165029"/>
    <w:rsid w:val="00175A8A"/>
    <w:rsid w:val="0017626E"/>
    <w:rsid w:val="00193F23"/>
    <w:rsid w:val="00194901"/>
    <w:rsid w:val="00197434"/>
    <w:rsid w:val="001A013F"/>
    <w:rsid w:val="001A1327"/>
    <w:rsid w:val="001A215F"/>
    <w:rsid w:val="001A4CF9"/>
    <w:rsid w:val="001A6C72"/>
    <w:rsid w:val="001B40D2"/>
    <w:rsid w:val="001B441C"/>
    <w:rsid w:val="001B76F6"/>
    <w:rsid w:val="001C1242"/>
    <w:rsid w:val="001C7347"/>
    <w:rsid w:val="001D0124"/>
    <w:rsid w:val="001D4171"/>
    <w:rsid w:val="001D4B4D"/>
    <w:rsid w:val="001E05C8"/>
    <w:rsid w:val="001E6C2E"/>
    <w:rsid w:val="001F2A43"/>
    <w:rsid w:val="001F2C3A"/>
    <w:rsid w:val="001F3248"/>
    <w:rsid w:val="001F62C3"/>
    <w:rsid w:val="001F7E76"/>
    <w:rsid w:val="00200BF0"/>
    <w:rsid w:val="00201AF7"/>
    <w:rsid w:val="00202B2F"/>
    <w:rsid w:val="00204403"/>
    <w:rsid w:val="00206656"/>
    <w:rsid w:val="00213456"/>
    <w:rsid w:val="00213CD3"/>
    <w:rsid w:val="00214192"/>
    <w:rsid w:val="00215DC3"/>
    <w:rsid w:val="00216F91"/>
    <w:rsid w:val="0021736E"/>
    <w:rsid w:val="0022374D"/>
    <w:rsid w:val="00231A0A"/>
    <w:rsid w:val="00231A68"/>
    <w:rsid w:val="00232090"/>
    <w:rsid w:val="0023439D"/>
    <w:rsid w:val="002428D0"/>
    <w:rsid w:val="00245DC3"/>
    <w:rsid w:val="002471CD"/>
    <w:rsid w:val="0025649E"/>
    <w:rsid w:val="00257484"/>
    <w:rsid w:val="00260726"/>
    <w:rsid w:val="002636DD"/>
    <w:rsid w:val="0026548B"/>
    <w:rsid w:val="00273639"/>
    <w:rsid w:val="00273730"/>
    <w:rsid w:val="00277E7E"/>
    <w:rsid w:val="0028440B"/>
    <w:rsid w:val="00286EB4"/>
    <w:rsid w:val="0028784B"/>
    <w:rsid w:val="0029158F"/>
    <w:rsid w:val="00291DED"/>
    <w:rsid w:val="00294574"/>
    <w:rsid w:val="002962AF"/>
    <w:rsid w:val="00297A6C"/>
    <w:rsid w:val="002A5FCC"/>
    <w:rsid w:val="002B23BD"/>
    <w:rsid w:val="002B384B"/>
    <w:rsid w:val="002B5F5B"/>
    <w:rsid w:val="002B6187"/>
    <w:rsid w:val="002C50C1"/>
    <w:rsid w:val="002D3C01"/>
    <w:rsid w:val="002D6289"/>
    <w:rsid w:val="002E1E90"/>
    <w:rsid w:val="002E4185"/>
    <w:rsid w:val="002E4BD7"/>
    <w:rsid w:val="002E67E0"/>
    <w:rsid w:val="002F596B"/>
    <w:rsid w:val="00302066"/>
    <w:rsid w:val="00313103"/>
    <w:rsid w:val="003209F7"/>
    <w:rsid w:val="00324819"/>
    <w:rsid w:val="0032495E"/>
    <w:rsid w:val="00327208"/>
    <w:rsid w:val="00327463"/>
    <w:rsid w:val="00335A51"/>
    <w:rsid w:val="00336E92"/>
    <w:rsid w:val="00346FE9"/>
    <w:rsid w:val="0035036C"/>
    <w:rsid w:val="00350F48"/>
    <w:rsid w:val="00362EBF"/>
    <w:rsid w:val="00372E2E"/>
    <w:rsid w:val="003747F6"/>
    <w:rsid w:val="00376438"/>
    <w:rsid w:val="00376726"/>
    <w:rsid w:val="00380A88"/>
    <w:rsid w:val="00381D49"/>
    <w:rsid w:val="0038589D"/>
    <w:rsid w:val="0039164A"/>
    <w:rsid w:val="003919F8"/>
    <w:rsid w:val="00394ADB"/>
    <w:rsid w:val="00394EBC"/>
    <w:rsid w:val="003A26BC"/>
    <w:rsid w:val="003A4A7C"/>
    <w:rsid w:val="003B0F43"/>
    <w:rsid w:val="003B3F9C"/>
    <w:rsid w:val="003C01C9"/>
    <w:rsid w:val="003C1C3A"/>
    <w:rsid w:val="003C315C"/>
    <w:rsid w:val="003C4B1D"/>
    <w:rsid w:val="003D14D2"/>
    <w:rsid w:val="003D5E16"/>
    <w:rsid w:val="003D6F0A"/>
    <w:rsid w:val="003F00D4"/>
    <w:rsid w:val="003F2002"/>
    <w:rsid w:val="003F5F8D"/>
    <w:rsid w:val="003F6A01"/>
    <w:rsid w:val="00407F4B"/>
    <w:rsid w:val="00411595"/>
    <w:rsid w:val="00414B3E"/>
    <w:rsid w:val="0041552E"/>
    <w:rsid w:val="00420646"/>
    <w:rsid w:val="00426FD1"/>
    <w:rsid w:val="00433947"/>
    <w:rsid w:val="00442EC0"/>
    <w:rsid w:val="004432E2"/>
    <w:rsid w:val="00444D64"/>
    <w:rsid w:val="00465761"/>
    <w:rsid w:val="00466811"/>
    <w:rsid w:val="00471044"/>
    <w:rsid w:val="00474AD7"/>
    <w:rsid w:val="00477BB3"/>
    <w:rsid w:val="00481EE7"/>
    <w:rsid w:val="004827AD"/>
    <w:rsid w:val="00493A08"/>
    <w:rsid w:val="00497808"/>
    <w:rsid w:val="004A2206"/>
    <w:rsid w:val="004A3198"/>
    <w:rsid w:val="004A6734"/>
    <w:rsid w:val="004A70EB"/>
    <w:rsid w:val="004A76FA"/>
    <w:rsid w:val="004B3EF9"/>
    <w:rsid w:val="004B4150"/>
    <w:rsid w:val="004B43CB"/>
    <w:rsid w:val="004B44D8"/>
    <w:rsid w:val="004B51DB"/>
    <w:rsid w:val="004B7EE6"/>
    <w:rsid w:val="004C3864"/>
    <w:rsid w:val="004D27B7"/>
    <w:rsid w:val="004D3DEA"/>
    <w:rsid w:val="004D52F1"/>
    <w:rsid w:val="004D63E7"/>
    <w:rsid w:val="004E1D48"/>
    <w:rsid w:val="004E7F45"/>
    <w:rsid w:val="00502BB5"/>
    <w:rsid w:val="0050350D"/>
    <w:rsid w:val="00506783"/>
    <w:rsid w:val="00512230"/>
    <w:rsid w:val="00531388"/>
    <w:rsid w:val="00532465"/>
    <w:rsid w:val="005332DD"/>
    <w:rsid w:val="0053451E"/>
    <w:rsid w:val="00535546"/>
    <w:rsid w:val="00536ABB"/>
    <w:rsid w:val="00536E2F"/>
    <w:rsid w:val="0054059A"/>
    <w:rsid w:val="00541A24"/>
    <w:rsid w:val="005462BC"/>
    <w:rsid w:val="00546561"/>
    <w:rsid w:val="00550670"/>
    <w:rsid w:val="00551887"/>
    <w:rsid w:val="00555BC0"/>
    <w:rsid w:val="00557842"/>
    <w:rsid w:val="005605D9"/>
    <w:rsid w:val="00564945"/>
    <w:rsid w:val="00570D64"/>
    <w:rsid w:val="005759A9"/>
    <w:rsid w:val="00590A6E"/>
    <w:rsid w:val="00593769"/>
    <w:rsid w:val="0059562E"/>
    <w:rsid w:val="005958DC"/>
    <w:rsid w:val="00596458"/>
    <w:rsid w:val="005966FE"/>
    <w:rsid w:val="005A3658"/>
    <w:rsid w:val="005A459E"/>
    <w:rsid w:val="005B220F"/>
    <w:rsid w:val="005B5DF9"/>
    <w:rsid w:val="005C5DD9"/>
    <w:rsid w:val="005C77D7"/>
    <w:rsid w:val="005D517D"/>
    <w:rsid w:val="005D7816"/>
    <w:rsid w:val="005E1B1F"/>
    <w:rsid w:val="005E2B5F"/>
    <w:rsid w:val="005F3C66"/>
    <w:rsid w:val="005F6FA4"/>
    <w:rsid w:val="006061C2"/>
    <w:rsid w:val="00606E07"/>
    <w:rsid w:val="00611263"/>
    <w:rsid w:val="006130FB"/>
    <w:rsid w:val="00613BA6"/>
    <w:rsid w:val="006148AC"/>
    <w:rsid w:val="0061508D"/>
    <w:rsid w:val="00617EAE"/>
    <w:rsid w:val="006202B4"/>
    <w:rsid w:val="006303F6"/>
    <w:rsid w:val="00634028"/>
    <w:rsid w:val="0064061B"/>
    <w:rsid w:val="00643778"/>
    <w:rsid w:val="0064399F"/>
    <w:rsid w:val="00643CDB"/>
    <w:rsid w:val="00647BA5"/>
    <w:rsid w:val="006606CF"/>
    <w:rsid w:val="006675A9"/>
    <w:rsid w:val="006721D2"/>
    <w:rsid w:val="00681C97"/>
    <w:rsid w:val="006842E4"/>
    <w:rsid w:val="00687126"/>
    <w:rsid w:val="00687740"/>
    <w:rsid w:val="006878A0"/>
    <w:rsid w:val="006A1A32"/>
    <w:rsid w:val="006A5B8D"/>
    <w:rsid w:val="006B060D"/>
    <w:rsid w:val="006B2A5F"/>
    <w:rsid w:val="006B2FD3"/>
    <w:rsid w:val="006C0E3E"/>
    <w:rsid w:val="006C3A9A"/>
    <w:rsid w:val="006C60D7"/>
    <w:rsid w:val="006C625C"/>
    <w:rsid w:val="006D1B1D"/>
    <w:rsid w:val="006D2435"/>
    <w:rsid w:val="006D366F"/>
    <w:rsid w:val="006D5292"/>
    <w:rsid w:val="006D7122"/>
    <w:rsid w:val="006D7184"/>
    <w:rsid w:val="006E2D3A"/>
    <w:rsid w:val="006E7044"/>
    <w:rsid w:val="006E70D1"/>
    <w:rsid w:val="006F0653"/>
    <w:rsid w:val="006F1970"/>
    <w:rsid w:val="006F4D98"/>
    <w:rsid w:val="006F50B1"/>
    <w:rsid w:val="00700C92"/>
    <w:rsid w:val="00702063"/>
    <w:rsid w:val="007039F7"/>
    <w:rsid w:val="00704373"/>
    <w:rsid w:val="00707A01"/>
    <w:rsid w:val="00714E89"/>
    <w:rsid w:val="00716B17"/>
    <w:rsid w:val="00723972"/>
    <w:rsid w:val="0072693D"/>
    <w:rsid w:val="00726F8D"/>
    <w:rsid w:val="00726FA2"/>
    <w:rsid w:val="00727778"/>
    <w:rsid w:val="00735615"/>
    <w:rsid w:val="00735F02"/>
    <w:rsid w:val="00737771"/>
    <w:rsid w:val="007405F0"/>
    <w:rsid w:val="007424D2"/>
    <w:rsid w:val="007449C3"/>
    <w:rsid w:val="00750810"/>
    <w:rsid w:val="00766928"/>
    <w:rsid w:val="007711B7"/>
    <w:rsid w:val="00773EEC"/>
    <w:rsid w:val="0077419E"/>
    <w:rsid w:val="00785BA0"/>
    <w:rsid w:val="00785F2E"/>
    <w:rsid w:val="00790946"/>
    <w:rsid w:val="007917C0"/>
    <w:rsid w:val="00792CC5"/>
    <w:rsid w:val="00797434"/>
    <w:rsid w:val="007A1033"/>
    <w:rsid w:val="007A13A7"/>
    <w:rsid w:val="007A1CDB"/>
    <w:rsid w:val="007A4D8C"/>
    <w:rsid w:val="007B2291"/>
    <w:rsid w:val="007B5725"/>
    <w:rsid w:val="007B7116"/>
    <w:rsid w:val="007C0BD7"/>
    <w:rsid w:val="007C0CB7"/>
    <w:rsid w:val="007C2326"/>
    <w:rsid w:val="007D1B30"/>
    <w:rsid w:val="007D6869"/>
    <w:rsid w:val="007D6E23"/>
    <w:rsid w:val="007E1D8E"/>
    <w:rsid w:val="007E64B4"/>
    <w:rsid w:val="007F034A"/>
    <w:rsid w:val="007F065F"/>
    <w:rsid w:val="007F179A"/>
    <w:rsid w:val="007F21A0"/>
    <w:rsid w:val="007F6175"/>
    <w:rsid w:val="00831FAD"/>
    <w:rsid w:val="008416CD"/>
    <w:rsid w:val="00843242"/>
    <w:rsid w:val="00843F9C"/>
    <w:rsid w:val="00850DC4"/>
    <w:rsid w:val="00864827"/>
    <w:rsid w:val="0086632D"/>
    <w:rsid w:val="00867B1C"/>
    <w:rsid w:val="00871CEB"/>
    <w:rsid w:val="0087280D"/>
    <w:rsid w:val="00873954"/>
    <w:rsid w:val="00874356"/>
    <w:rsid w:val="00882F5A"/>
    <w:rsid w:val="0089082E"/>
    <w:rsid w:val="00891B92"/>
    <w:rsid w:val="008A5B5D"/>
    <w:rsid w:val="008B515A"/>
    <w:rsid w:val="008B53BF"/>
    <w:rsid w:val="008C68E6"/>
    <w:rsid w:val="008C7D31"/>
    <w:rsid w:val="008D75A2"/>
    <w:rsid w:val="008E332E"/>
    <w:rsid w:val="008F2752"/>
    <w:rsid w:val="009002F7"/>
    <w:rsid w:val="00910395"/>
    <w:rsid w:val="00913FD2"/>
    <w:rsid w:val="009153E0"/>
    <w:rsid w:val="0091791F"/>
    <w:rsid w:val="00917B3D"/>
    <w:rsid w:val="009272ED"/>
    <w:rsid w:val="009314F9"/>
    <w:rsid w:val="009370F9"/>
    <w:rsid w:val="009439FB"/>
    <w:rsid w:val="009442B0"/>
    <w:rsid w:val="0094771D"/>
    <w:rsid w:val="00947CE4"/>
    <w:rsid w:val="009517AD"/>
    <w:rsid w:val="009521BD"/>
    <w:rsid w:val="00952B2D"/>
    <w:rsid w:val="00956830"/>
    <w:rsid w:val="009623D0"/>
    <w:rsid w:val="0096627E"/>
    <w:rsid w:val="00971256"/>
    <w:rsid w:val="009854C9"/>
    <w:rsid w:val="00987526"/>
    <w:rsid w:val="009910BC"/>
    <w:rsid w:val="00991699"/>
    <w:rsid w:val="0099380A"/>
    <w:rsid w:val="00993BE0"/>
    <w:rsid w:val="00995D52"/>
    <w:rsid w:val="0099739B"/>
    <w:rsid w:val="009A177E"/>
    <w:rsid w:val="009A1C91"/>
    <w:rsid w:val="009A56FB"/>
    <w:rsid w:val="009A72C0"/>
    <w:rsid w:val="009B0706"/>
    <w:rsid w:val="009B2A84"/>
    <w:rsid w:val="009B4A2A"/>
    <w:rsid w:val="009C2C01"/>
    <w:rsid w:val="009D5A0B"/>
    <w:rsid w:val="009E2603"/>
    <w:rsid w:val="009E4C87"/>
    <w:rsid w:val="009F36B3"/>
    <w:rsid w:val="009F3A88"/>
    <w:rsid w:val="009F64D2"/>
    <w:rsid w:val="00A07F75"/>
    <w:rsid w:val="00A21D09"/>
    <w:rsid w:val="00A367AF"/>
    <w:rsid w:val="00A43E01"/>
    <w:rsid w:val="00A50EBB"/>
    <w:rsid w:val="00A54DA8"/>
    <w:rsid w:val="00A54F95"/>
    <w:rsid w:val="00A60D1D"/>
    <w:rsid w:val="00A646B4"/>
    <w:rsid w:val="00A669D9"/>
    <w:rsid w:val="00A73A9C"/>
    <w:rsid w:val="00A77C40"/>
    <w:rsid w:val="00A803D5"/>
    <w:rsid w:val="00A82345"/>
    <w:rsid w:val="00A82F34"/>
    <w:rsid w:val="00A86C90"/>
    <w:rsid w:val="00A87276"/>
    <w:rsid w:val="00A9156A"/>
    <w:rsid w:val="00A93F20"/>
    <w:rsid w:val="00A979BF"/>
    <w:rsid w:val="00AA16E6"/>
    <w:rsid w:val="00AB465C"/>
    <w:rsid w:val="00AC5C3A"/>
    <w:rsid w:val="00AD1B60"/>
    <w:rsid w:val="00AD54D8"/>
    <w:rsid w:val="00AD58A4"/>
    <w:rsid w:val="00AE6101"/>
    <w:rsid w:val="00AE7572"/>
    <w:rsid w:val="00AF28B2"/>
    <w:rsid w:val="00AF299C"/>
    <w:rsid w:val="00AF2EA6"/>
    <w:rsid w:val="00AF3BA2"/>
    <w:rsid w:val="00AF44A7"/>
    <w:rsid w:val="00AF73D7"/>
    <w:rsid w:val="00B047F2"/>
    <w:rsid w:val="00B10503"/>
    <w:rsid w:val="00B1061D"/>
    <w:rsid w:val="00B12CA7"/>
    <w:rsid w:val="00B162D8"/>
    <w:rsid w:val="00B214EB"/>
    <w:rsid w:val="00B27BD8"/>
    <w:rsid w:val="00B52217"/>
    <w:rsid w:val="00B52272"/>
    <w:rsid w:val="00B55F64"/>
    <w:rsid w:val="00B56CC6"/>
    <w:rsid w:val="00B5736A"/>
    <w:rsid w:val="00B619A5"/>
    <w:rsid w:val="00B655FA"/>
    <w:rsid w:val="00B72255"/>
    <w:rsid w:val="00B734BE"/>
    <w:rsid w:val="00B77ED6"/>
    <w:rsid w:val="00B819F6"/>
    <w:rsid w:val="00B837E4"/>
    <w:rsid w:val="00BA2704"/>
    <w:rsid w:val="00BA4CAE"/>
    <w:rsid w:val="00BA6916"/>
    <w:rsid w:val="00BB46AE"/>
    <w:rsid w:val="00BB74A7"/>
    <w:rsid w:val="00BB76B9"/>
    <w:rsid w:val="00BD18CF"/>
    <w:rsid w:val="00BD2093"/>
    <w:rsid w:val="00BD3A3F"/>
    <w:rsid w:val="00BD4DAB"/>
    <w:rsid w:val="00BD50A3"/>
    <w:rsid w:val="00BE0D64"/>
    <w:rsid w:val="00BE6F59"/>
    <w:rsid w:val="00BE7A9F"/>
    <w:rsid w:val="00BF11B9"/>
    <w:rsid w:val="00BF2C9C"/>
    <w:rsid w:val="00BF3C5D"/>
    <w:rsid w:val="00BF6486"/>
    <w:rsid w:val="00C06711"/>
    <w:rsid w:val="00C07F16"/>
    <w:rsid w:val="00C12624"/>
    <w:rsid w:val="00C14BB8"/>
    <w:rsid w:val="00C206ED"/>
    <w:rsid w:val="00C27C7D"/>
    <w:rsid w:val="00C3085F"/>
    <w:rsid w:val="00C30F44"/>
    <w:rsid w:val="00C3295D"/>
    <w:rsid w:val="00C7442B"/>
    <w:rsid w:val="00C816E0"/>
    <w:rsid w:val="00C863C9"/>
    <w:rsid w:val="00C97CE4"/>
    <w:rsid w:val="00CA7248"/>
    <w:rsid w:val="00CA73A0"/>
    <w:rsid w:val="00CC6939"/>
    <w:rsid w:val="00CC6A11"/>
    <w:rsid w:val="00CD1040"/>
    <w:rsid w:val="00CD225E"/>
    <w:rsid w:val="00CD5B62"/>
    <w:rsid w:val="00CD7EB6"/>
    <w:rsid w:val="00CE319B"/>
    <w:rsid w:val="00CE652D"/>
    <w:rsid w:val="00CF08F2"/>
    <w:rsid w:val="00CF4413"/>
    <w:rsid w:val="00CF45FA"/>
    <w:rsid w:val="00CF4D6D"/>
    <w:rsid w:val="00D00F6A"/>
    <w:rsid w:val="00D01EA7"/>
    <w:rsid w:val="00D1687A"/>
    <w:rsid w:val="00D2084E"/>
    <w:rsid w:val="00D23625"/>
    <w:rsid w:val="00D32856"/>
    <w:rsid w:val="00D426C5"/>
    <w:rsid w:val="00D44637"/>
    <w:rsid w:val="00D46E97"/>
    <w:rsid w:val="00D612D6"/>
    <w:rsid w:val="00D72420"/>
    <w:rsid w:val="00D733D7"/>
    <w:rsid w:val="00D73BEE"/>
    <w:rsid w:val="00D819C6"/>
    <w:rsid w:val="00D81C13"/>
    <w:rsid w:val="00D85EA7"/>
    <w:rsid w:val="00D86A0F"/>
    <w:rsid w:val="00D87529"/>
    <w:rsid w:val="00D91D0B"/>
    <w:rsid w:val="00D94157"/>
    <w:rsid w:val="00D95070"/>
    <w:rsid w:val="00D97F2F"/>
    <w:rsid w:val="00DA0076"/>
    <w:rsid w:val="00DA6F1D"/>
    <w:rsid w:val="00DB2C85"/>
    <w:rsid w:val="00DC0695"/>
    <w:rsid w:val="00DC1184"/>
    <w:rsid w:val="00DC406A"/>
    <w:rsid w:val="00DC4AF2"/>
    <w:rsid w:val="00DC5056"/>
    <w:rsid w:val="00DD6552"/>
    <w:rsid w:val="00DE1072"/>
    <w:rsid w:val="00E16585"/>
    <w:rsid w:val="00E2355B"/>
    <w:rsid w:val="00E24942"/>
    <w:rsid w:val="00E25F66"/>
    <w:rsid w:val="00E41BEE"/>
    <w:rsid w:val="00E5216C"/>
    <w:rsid w:val="00E5493D"/>
    <w:rsid w:val="00E56780"/>
    <w:rsid w:val="00E57861"/>
    <w:rsid w:val="00E643FD"/>
    <w:rsid w:val="00E713EC"/>
    <w:rsid w:val="00E74189"/>
    <w:rsid w:val="00E7544C"/>
    <w:rsid w:val="00E770DB"/>
    <w:rsid w:val="00E82E66"/>
    <w:rsid w:val="00E831F5"/>
    <w:rsid w:val="00E84235"/>
    <w:rsid w:val="00E85802"/>
    <w:rsid w:val="00E97173"/>
    <w:rsid w:val="00E976F6"/>
    <w:rsid w:val="00EA3BAA"/>
    <w:rsid w:val="00EA52A1"/>
    <w:rsid w:val="00EA7CFE"/>
    <w:rsid w:val="00EB0E5E"/>
    <w:rsid w:val="00EB4BD9"/>
    <w:rsid w:val="00EC244F"/>
    <w:rsid w:val="00ED10B8"/>
    <w:rsid w:val="00ED28D2"/>
    <w:rsid w:val="00ED3C93"/>
    <w:rsid w:val="00ED5A4C"/>
    <w:rsid w:val="00EE2BAB"/>
    <w:rsid w:val="00EE2E11"/>
    <w:rsid w:val="00EE3F08"/>
    <w:rsid w:val="00EE4AE4"/>
    <w:rsid w:val="00EE4BA4"/>
    <w:rsid w:val="00EF3C28"/>
    <w:rsid w:val="00F02EF9"/>
    <w:rsid w:val="00F1042D"/>
    <w:rsid w:val="00F13F9A"/>
    <w:rsid w:val="00F21D3A"/>
    <w:rsid w:val="00F235BA"/>
    <w:rsid w:val="00F40A6A"/>
    <w:rsid w:val="00F465CF"/>
    <w:rsid w:val="00F51A98"/>
    <w:rsid w:val="00F54AA3"/>
    <w:rsid w:val="00F56399"/>
    <w:rsid w:val="00F656DC"/>
    <w:rsid w:val="00F705FE"/>
    <w:rsid w:val="00F7095F"/>
    <w:rsid w:val="00F710B9"/>
    <w:rsid w:val="00F71ABB"/>
    <w:rsid w:val="00F838D8"/>
    <w:rsid w:val="00F85D2A"/>
    <w:rsid w:val="00F94BA5"/>
    <w:rsid w:val="00F94BC9"/>
    <w:rsid w:val="00FA2624"/>
    <w:rsid w:val="00FA3439"/>
    <w:rsid w:val="00FA4F30"/>
    <w:rsid w:val="00FB6D59"/>
    <w:rsid w:val="00FC0E23"/>
    <w:rsid w:val="00FC6ADC"/>
    <w:rsid w:val="00FD0158"/>
    <w:rsid w:val="00FD0918"/>
    <w:rsid w:val="00FD7D2C"/>
    <w:rsid w:val="00FE342E"/>
    <w:rsid w:val="00FF4897"/>
    <w:rsid w:val="01501D76"/>
    <w:rsid w:val="01C223F2"/>
    <w:rsid w:val="029C606A"/>
    <w:rsid w:val="02D74B05"/>
    <w:rsid w:val="03406500"/>
    <w:rsid w:val="03B2479A"/>
    <w:rsid w:val="03E62F94"/>
    <w:rsid w:val="04430D42"/>
    <w:rsid w:val="04927028"/>
    <w:rsid w:val="0561330F"/>
    <w:rsid w:val="05955A20"/>
    <w:rsid w:val="05DE3AA7"/>
    <w:rsid w:val="07586F0B"/>
    <w:rsid w:val="084A1DD2"/>
    <w:rsid w:val="087F1871"/>
    <w:rsid w:val="08E27D6A"/>
    <w:rsid w:val="093023EA"/>
    <w:rsid w:val="095F0971"/>
    <w:rsid w:val="09BB007A"/>
    <w:rsid w:val="0A321F79"/>
    <w:rsid w:val="0A452234"/>
    <w:rsid w:val="0A7B623C"/>
    <w:rsid w:val="0B8003DA"/>
    <w:rsid w:val="0C4E6CEF"/>
    <w:rsid w:val="0DAA67E0"/>
    <w:rsid w:val="0E921349"/>
    <w:rsid w:val="0EB43ECA"/>
    <w:rsid w:val="0EFF57B8"/>
    <w:rsid w:val="0FA1169D"/>
    <w:rsid w:val="0FA57E31"/>
    <w:rsid w:val="0FE07E33"/>
    <w:rsid w:val="106C72A8"/>
    <w:rsid w:val="111D577F"/>
    <w:rsid w:val="11622737"/>
    <w:rsid w:val="116A3832"/>
    <w:rsid w:val="11765F75"/>
    <w:rsid w:val="123D1FA7"/>
    <w:rsid w:val="13610944"/>
    <w:rsid w:val="13845D95"/>
    <w:rsid w:val="144D0D6A"/>
    <w:rsid w:val="144F0B18"/>
    <w:rsid w:val="14CC0DE0"/>
    <w:rsid w:val="15390ADE"/>
    <w:rsid w:val="154934C9"/>
    <w:rsid w:val="156061B7"/>
    <w:rsid w:val="156E27C7"/>
    <w:rsid w:val="1623023D"/>
    <w:rsid w:val="1633757E"/>
    <w:rsid w:val="169F7888"/>
    <w:rsid w:val="17165AE3"/>
    <w:rsid w:val="176D2DE2"/>
    <w:rsid w:val="17C3657D"/>
    <w:rsid w:val="17DD67C8"/>
    <w:rsid w:val="185B6189"/>
    <w:rsid w:val="193442BB"/>
    <w:rsid w:val="19FD7F67"/>
    <w:rsid w:val="1C1F6FB6"/>
    <w:rsid w:val="1C8521BB"/>
    <w:rsid w:val="1CAC0007"/>
    <w:rsid w:val="1CB02E44"/>
    <w:rsid w:val="1CC239AC"/>
    <w:rsid w:val="1D68655D"/>
    <w:rsid w:val="1D726CE7"/>
    <w:rsid w:val="1DD8285D"/>
    <w:rsid w:val="1DDE529B"/>
    <w:rsid w:val="1E3D12AC"/>
    <w:rsid w:val="1E665102"/>
    <w:rsid w:val="1EFA7CCA"/>
    <w:rsid w:val="1EFB2F43"/>
    <w:rsid w:val="1F4A2622"/>
    <w:rsid w:val="21033B60"/>
    <w:rsid w:val="21305109"/>
    <w:rsid w:val="215E4706"/>
    <w:rsid w:val="221F08B5"/>
    <w:rsid w:val="23A37E20"/>
    <w:rsid w:val="247B04DB"/>
    <w:rsid w:val="24965FC8"/>
    <w:rsid w:val="24AB1637"/>
    <w:rsid w:val="24CF0EED"/>
    <w:rsid w:val="24FF38B5"/>
    <w:rsid w:val="250E2C93"/>
    <w:rsid w:val="256D5F98"/>
    <w:rsid w:val="26253AEA"/>
    <w:rsid w:val="263D665E"/>
    <w:rsid w:val="269F5E93"/>
    <w:rsid w:val="26C47419"/>
    <w:rsid w:val="26CD4921"/>
    <w:rsid w:val="26D7672C"/>
    <w:rsid w:val="272C5632"/>
    <w:rsid w:val="278358C9"/>
    <w:rsid w:val="286306AA"/>
    <w:rsid w:val="292F07E9"/>
    <w:rsid w:val="29E00042"/>
    <w:rsid w:val="2A061B5F"/>
    <w:rsid w:val="2C273F0B"/>
    <w:rsid w:val="2C896F9D"/>
    <w:rsid w:val="2D0F6111"/>
    <w:rsid w:val="2EB610E9"/>
    <w:rsid w:val="2FFA6D69"/>
    <w:rsid w:val="303E16CD"/>
    <w:rsid w:val="304A5464"/>
    <w:rsid w:val="308A3A5B"/>
    <w:rsid w:val="315849CF"/>
    <w:rsid w:val="32A3062C"/>
    <w:rsid w:val="32A50445"/>
    <w:rsid w:val="32AD1AD9"/>
    <w:rsid w:val="34880F4C"/>
    <w:rsid w:val="34A404A1"/>
    <w:rsid w:val="34F74A62"/>
    <w:rsid w:val="361F3934"/>
    <w:rsid w:val="36396C17"/>
    <w:rsid w:val="366342BF"/>
    <w:rsid w:val="366E08AA"/>
    <w:rsid w:val="37A95B14"/>
    <w:rsid w:val="38886DCA"/>
    <w:rsid w:val="38FA5A72"/>
    <w:rsid w:val="39491067"/>
    <w:rsid w:val="39AC528E"/>
    <w:rsid w:val="3A15504C"/>
    <w:rsid w:val="3A85538C"/>
    <w:rsid w:val="3AE953B1"/>
    <w:rsid w:val="3B0009D7"/>
    <w:rsid w:val="3BCD1363"/>
    <w:rsid w:val="3C5022B9"/>
    <w:rsid w:val="3C7F3E4D"/>
    <w:rsid w:val="3CF768D1"/>
    <w:rsid w:val="3D3925B7"/>
    <w:rsid w:val="3D3A70F6"/>
    <w:rsid w:val="3E206C64"/>
    <w:rsid w:val="3E3B66E2"/>
    <w:rsid w:val="3EAE6B1F"/>
    <w:rsid w:val="3FF070B0"/>
    <w:rsid w:val="40B35F7F"/>
    <w:rsid w:val="40D60A8C"/>
    <w:rsid w:val="40F12D92"/>
    <w:rsid w:val="41024195"/>
    <w:rsid w:val="419D3557"/>
    <w:rsid w:val="43286ED3"/>
    <w:rsid w:val="43570169"/>
    <w:rsid w:val="436B41B2"/>
    <w:rsid w:val="43D83A6A"/>
    <w:rsid w:val="44480B57"/>
    <w:rsid w:val="44E223AB"/>
    <w:rsid w:val="450A3A5E"/>
    <w:rsid w:val="45ED6B6F"/>
    <w:rsid w:val="460005BB"/>
    <w:rsid w:val="47217935"/>
    <w:rsid w:val="478F1F05"/>
    <w:rsid w:val="47E13067"/>
    <w:rsid w:val="481A6476"/>
    <w:rsid w:val="488829C2"/>
    <w:rsid w:val="48D845AE"/>
    <w:rsid w:val="49C67347"/>
    <w:rsid w:val="4A2B750B"/>
    <w:rsid w:val="4AB06A05"/>
    <w:rsid w:val="4B397D97"/>
    <w:rsid w:val="4BCC5890"/>
    <w:rsid w:val="4CBB124F"/>
    <w:rsid w:val="4D3D1623"/>
    <w:rsid w:val="4E09648D"/>
    <w:rsid w:val="4E4977F3"/>
    <w:rsid w:val="4E631567"/>
    <w:rsid w:val="4E651D1A"/>
    <w:rsid w:val="4E775013"/>
    <w:rsid w:val="4EFE34D9"/>
    <w:rsid w:val="4F3F1C24"/>
    <w:rsid w:val="4F896269"/>
    <w:rsid w:val="4F96663D"/>
    <w:rsid w:val="4FB71497"/>
    <w:rsid w:val="501A0C0E"/>
    <w:rsid w:val="50B82CD5"/>
    <w:rsid w:val="52077991"/>
    <w:rsid w:val="525C180F"/>
    <w:rsid w:val="529E4A1C"/>
    <w:rsid w:val="52DB12D4"/>
    <w:rsid w:val="53351B4F"/>
    <w:rsid w:val="534F01DA"/>
    <w:rsid w:val="534F382F"/>
    <w:rsid w:val="547253F3"/>
    <w:rsid w:val="54A45BCE"/>
    <w:rsid w:val="554B7CC8"/>
    <w:rsid w:val="55A1633A"/>
    <w:rsid w:val="55C114F6"/>
    <w:rsid w:val="562B425A"/>
    <w:rsid w:val="57345B4E"/>
    <w:rsid w:val="574F03A6"/>
    <w:rsid w:val="57775422"/>
    <w:rsid w:val="59412DE1"/>
    <w:rsid w:val="597E592B"/>
    <w:rsid w:val="5A137DC5"/>
    <w:rsid w:val="5A5566F4"/>
    <w:rsid w:val="5A6E25B7"/>
    <w:rsid w:val="5ABB20E2"/>
    <w:rsid w:val="5ADD6D30"/>
    <w:rsid w:val="5B4B369F"/>
    <w:rsid w:val="5B683FF6"/>
    <w:rsid w:val="5B8D2B67"/>
    <w:rsid w:val="5C2C7709"/>
    <w:rsid w:val="5CB31713"/>
    <w:rsid w:val="5D670002"/>
    <w:rsid w:val="5D846725"/>
    <w:rsid w:val="5DC05EB0"/>
    <w:rsid w:val="5E351DB9"/>
    <w:rsid w:val="5E797281"/>
    <w:rsid w:val="5EA622B6"/>
    <w:rsid w:val="5F6200E6"/>
    <w:rsid w:val="5F9D56AB"/>
    <w:rsid w:val="61104DB0"/>
    <w:rsid w:val="612119FD"/>
    <w:rsid w:val="612A5313"/>
    <w:rsid w:val="61421DD7"/>
    <w:rsid w:val="616001B6"/>
    <w:rsid w:val="61971200"/>
    <w:rsid w:val="629813FC"/>
    <w:rsid w:val="63C032E1"/>
    <w:rsid w:val="63D6320E"/>
    <w:rsid w:val="64110339"/>
    <w:rsid w:val="64A15828"/>
    <w:rsid w:val="65125B3C"/>
    <w:rsid w:val="66076E62"/>
    <w:rsid w:val="662D3489"/>
    <w:rsid w:val="66CF42EB"/>
    <w:rsid w:val="671A7296"/>
    <w:rsid w:val="681C326E"/>
    <w:rsid w:val="681D0BCC"/>
    <w:rsid w:val="69343784"/>
    <w:rsid w:val="699157C4"/>
    <w:rsid w:val="6A1F7460"/>
    <w:rsid w:val="6AA25D69"/>
    <w:rsid w:val="6B3A6269"/>
    <w:rsid w:val="6BCC59CF"/>
    <w:rsid w:val="6CDF0597"/>
    <w:rsid w:val="6F6159E8"/>
    <w:rsid w:val="70500FE2"/>
    <w:rsid w:val="70B42525"/>
    <w:rsid w:val="71646722"/>
    <w:rsid w:val="71682DF0"/>
    <w:rsid w:val="729057D5"/>
    <w:rsid w:val="73E129E9"/>
    <w:rsid w:val="7598064C"/>
    <w:rsid w:val="76040FB5"/>
    <w:rsid w:val="762615C7"/>
    <w:rsid w:val="764A42E8"/>
    <w:rsid w:val="76572DFC"/>
    <w:rsid w:val="76C164E2"/>
    <w:rsid w:val="77443FA1"/>
    <w:rsid w:val="77DD1D3F"/>
    <w:rsid w:val="7869124F"/>
    <w:rsid w:val="78DB45F7"/>
    <w:rsid w:val="79476F10"/>
    <w:rsid w:val="7A347448"/>
    <w:rsid w:val="7AEC2240"/>
    <w:rsid w:val="7B4768CA"/>
    <w:rsid w:val="7BA63112"/>
    <w:rsid w:val="7D1D63A5"/>
    <w:rsid w:val="7DD60471"/>
    <w:rsid w:val="7E347068"/>
    <w:rsid w:val="7EDB44D5"/>
    <w:rsid w:val="7EF373D5"/>
    <w:rsid w:val="7F245991"/>
    <w:rsid w:val="7F3E32D6"/>
    <w:rsid w:val="7F833725"/>
    <w:rsid w:val="7FF6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0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link w:val="100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link w:val="5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link w:val="49"/>
    <w:qFormat/>
    <w:uiPriority w:val="0"/>
    <w:pPr>
      <w:keepNext/>
      <w:keepLines/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7">
    <w:name w:val="heading 5"/>
    <w:basedOn w:val="1"/>
    <w:next w:val="1"/>
    <w:link w:val="89"/>
    <w:qFormat/>
    <w:uiPriority w:val="0"/>
    <w:pPr>
      <w:keepNext/>
      <w:keepLines/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8">
    <w:name w:val="heading 6"/>
    <w:basedOn w:val="7"/>
    <w:next w:val="1"/>
    <w:link w:val="91"/>
    <w:qFormat/>
    <w:uiPriority w:val="0"/>
    <w:p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93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10">
    <w:name w:val="heading 8"/>
    <w:basedOn w:val="9"/>
    <w:next w:val="1"/>
    <w:link w:val="94"/>
    <w:qFormat/>
    <w:uiPriority w:val="0"/>
    <w:pPr>
      <w:outlineLvl w:val="7"/>
    </w:pPr>
  </w:style>
  <w:style w:type="paragraph" w:styleId="11">
    <w:name w:val="heading 9"/>
    <w:basedOn w:val="10"/>
    <w:next w:val="1"/>
    <w:link w:val="96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3">
    <w:name w:val="Default Paragraph Font"/>
    <w:semiHidden/>
    <w:unhideWhenUsed/>
    <w:qFormat/>
    <w:uiPriority w:val="1"/>
  </w:style>
  <w:style w:type="table" w:default="1" w:styleId="4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styleId="12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3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4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5">
    <w:name w:val="Document Map"/>
    <w:basedOn w:val="1"/>
    <w:link w:val="109"/>
    <w:qFormat/>
    <w:uiPriority w:val="0"/>
    <w:rPr>
      <w:rFonts w:ascii="宋体"/>
      <w:sz w:val="18"/>
      <w:szCs w:val="18"/>
    </w:rPr>
  </w:style>
  <w:style w:type="paragraph" w:styleId="16">
    <w:name w:val="annotation text"/>
    <w:basedOn w:val="1"/>
    <w:link w:val="103"/>
    <w:qFormat/>
    <w:uiPriority w:val="0"/>
  </w:style>
  <w:style w:type="paragraph" w:styleId="17">
    <w:name w:val="Body Text 3"/>
    <w:basedOn w:val="1"/>
    <w:link w:val="111"/>
    <w:qFormat/>
    <w:uiPriority w:val="0"/>
    <w:pPr>
      <w:spacing w:after="120"/>
    </w:pPr>
    <w:rPr>
      <w:sz w:val="16"/>
      <w:szCs w:val="16"/>
    </w:rPr>
  </w:style>
  <w:style w:type="paragraph" w:styleId="18">
    <w:name w:val="Body Text"/>
    <w:basedOn w:val="1"/>
    <w:link w:val="106"/>
    <w:qFormat/>
    <w:uiPriority w:val="0"/>
    <w:pPr>
      <w:spacing w:after="120"/>
    </w:pPr>
  </w:style>
  <w:style w:type="paragraph" w:styleId="19">
    <w:name w:val="Body Text Indent"/>
    <w:basedOn w:val="1"/>
    <w:link w:val="98"/>
    <w:qFormat/>
    <w:uiPriority w:val="0"/>
    <w:pPr>
      <w:spacing w:after="120"/>
      <w:ind w:left="420" w:leftChars="200"/>
    </w:pPr>
  </w:style>
  <w:style w:type="paragraph" w:styleId="20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1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2">
    <w:name w:val="Plain Text"/>
    <w:basedOn w:val="1"/>
    <w:link w:val="99"/>
    <w:qFormat/>
    <w:uiPriority w:val="0"/>
    <w:rPr>
      <w:rFonts w:ascii="宋体" w:hAnsi="Courier New"/>
    </w:rPr>
  </w:style>
  <w:style w:type="paragraph" w:styleId="23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4">
    <w:name w:val="Date"/>
    <w:basedOn w:val="1"/>
    <w:next w:val="1"/>
    <w:link w:val="114"/>
    <w:qFormat/>
    <w:uiPriority w:val="0"/>
    <w:pPr>
      <w:ind w:left="100" w:leftChars="2500"/>
    </w:pPr>
  </w:style>
  <w:style w:type="paragraph" w:styleId="25">
    <w:name w:val="Body Text Indent 2"/>
    <w:basedOn w:val="1"/>
    <w:link w:val="95"/>
    <w:qFormat/>
    <w:uiPriority w:val="0"/>
    <w:pPr>
      <w:spacing w:after="120" w:line="480" w:lineRule="auto"/>
      <w:ind w:left="420" w:leftChars="200"/>
    </w:pPr>
  </w:style>
  <w:style w:type="paragraph" w:styleId="26">
    <w:name w:val="Balloon Text"/>
    <w:basedOn w:val="1"/>
    <w:link w:val="102"/>
    <w:qFormat/>
    <w:uiPriority w:val="0"/>
    <w:rPr>
      <w:sz w:val="18"/>
      <w:szCs w:val="18"/>
    </w:rPr>
  </w:style>
  <w:style w:type="paragraph" w:styleId="27">
    <w:name w:val="footer"/>
    <w:basedOn w:val="1"/>
    <w:link w:val="10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header"/>
    <w:basedOn w:val="1"/>
    <w:link w:val="90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30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1">
    <w:name w:val="index heading"/>
    <w:basedOn w:val="1"/>
    <w:next w:val="32"/>
    <w:qFormat/>
    <w:uiPriority w:val="0"/>
    <w:pPr>
      <w:spacing w:line="300" w:lineRule="auto"/>
    </w:pPr>
    <w:rPr>
      <w:rFonts w:eastAsia="楷体_GB2312"/>
      <w:sz w:val="24"/>
    </w:rPr>
  </w:style>
  <w:style w:type="paragraph" w:styleId="32">
    <w:name w:val="index 1"/>
    <w:basedOn w:val="1"/>
    <w:next w:val="1"/>
    <w:qFormat/>
    <w:uiPriority w:val="0"/>
  </w:style>
  <w:style w:type="paragraph" w:styleId="33">
    <w:name w:val="toc 6"/>
    <w:basedOn w:val="1"/>
    <w:next w:val="1"/>
    <w:qFormat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4">
    <w:name w:val="Body Text Indent 3"/>
    <w:basedOn w:val="1"/>
    <w:link w:val="108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5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36">
    <w:name w:val="toc 9"/>
    <w:basedOn w:val="1"/>
    <w:next w:val="1"/>
    <w:qFormat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7">
    <w:name w:val="Body Text 2"/>
    <w:basedOn w:val="1"/>
    <w:link w:val="112"/>
    <w:qFormat/>
    <w:uiPriority w:val="0"/>
    <w:pPr>
      <w:spacing w:after="120" w:line="480" w:lineRule="auto"/>
    </w:pPr>
  </w:style>
  <w:style w:type="paragraph" w:styleId="38">
    <w:name w:val="Normal (Web)"/>
    <w:basedOn w:val="1"/>
    <w:qFormat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9">
    <w:name w:val="Title"/>
    <w:basedOn w:val="1"/>
    <w:link w:val="92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0">
    <w:name w:val="annotation subject"/>
    <w:basedOn w:val="16"/>
    <w:next w:val="16"/>
    <w:link w:val="130"/>
    <w:semiHidden/>
    <w:unhideWhenUsed/>
    <w:qFormat/>
    <w:uiPriority w:val="0"/>
    <w:rPr>
      <w:b/>
      <w:bCs/>
    </w:rPr>
  </w:style>
  <w:style w:type="paragraph" w:styleId="41">
    <w:name w:val="Body Text First Indent"/>
    <w:basedOn w:val="18"/>
    <w:link w:val="105"/>
    <w:qFormat/>
    <w:uiPriority w:val="0"/>
    <w:pPr>
      <w:ind w:firstLine="100" w:firstLineChars="100"/>
    </w:p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basedOn w:val="43"/>
    <w:qFormat/>
    <w:uiPriority w:val="0"/>
  </w:style>
  <w:style w:type="character" w:styleId="46">
    <w:name w:val="FollowedHyperlink"/>
    <w:qFormat/>
    <w:uiPriority w:val="0"/>
    <w:rPr>
      <w:color w:val="800080"/>
      <w:u w:val="single"/>
    </w:rPr>
  </w:style>
  <w:style w:type="character" w:styleId="47">
    <w:name w:val="Hyperlink"/>
    <w:qFormat/>
    <w:uiPriority w:val="99"/>
    <w:rPr>
      <w:color w:val="0000FF"/>
      <w:u w:val="single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customStyle="1" w:styleId="49">
    <w:name w:val="标题 4 字符"/>
    <w:link w:val="6"/>
    <w:qFormat/>
    <w:uiPriority w:val="0"/>
    <w:rPr>
      <w:rFonts w:hAnsi="Arial"/>
      <w:b/>
      <w:bCs/>
      <w:kern w:val="2"/>
      <w:sz w:val="24"/>
      <w:szCs w:val="28"/>
    </w:rPr>
  </w:style>
  <w:style w:type="character" w:customStyle="1" w:styleId="50">
    <w:name w:val="标题 1 字符"/>
    <w:link w:val="3"/>
    <w:qFormat/>
    <w:uiPriority w:val="0"/>
    <w:rPr>
      <w:b/>
      <w:bCs/>
      <w:kern w:val="44"/>
      <w:sz w:val="32"/>
      <w:szCs w:val="28"/>
    </w:rPr>
  </w:style>
  <w:style w:type="character" w:customStyle="1" w:styleId="51">
    <w:name w:val="标题 3 字符"/>
    <w:link w:val="5"/>
    <w:qFormat/>
    <w:uiPriority w:val="0"/>
    <w:rPr>
      <w:b/>
      <w:bCs/>
      <w:kern w:val="2"/>
      <w:sz w:val="28"/>
      <w:szCs w:val="18"/>
    </w:rPr>
  </w:style>
  <w:style w:type="paragraph" w:customStyle="1" w:styleId="52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53">
    <w:name w:val="正文无缩进"/>
    <w:basedOn w:val="1"/>
    <w:qFormat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54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5">
    <w:name w:val="Char Char1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6">
    <w:name w:val="4"/>
    <w:basedOn w:val="1"/>
    <w:qFormat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7">
    <w:name w:val="TOC 标题1"/>
    <w:basedOn w:val="3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8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59">
    <w:name w:val="Char Char3 Char Char Char Char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60">
    <w:name w:val="Char Char Char Char"/>
    <w:basedOn w:val="15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61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62">
    <w:name w:val="助手文本"/>
    <w:basedOn w:val="1"/>
    <w:qFormat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63">
    <w:name w:val="样式1"/>
    <w:basedOn w:val="1"/>
    <w:link w:val="13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64">
    <w:name w:val="正文--表格内正文"/>
    <w:basedOn w:val="1"/>
    <w:qFormat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5">
    <w:name w:val="Char Char1 Char Char Char Char Char Char"/>
    <w:basedOn w:val="1"/>
    <w:qFormat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6">
    <w:name w:val="样式4 Char"/>
    <w:basedOn w:val="1"/>
    <w:qFormat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7">
    <w:name w:val="列出段落1"/>
    <w:basedOn w:val="1"/>
    <w:qFormat/>
    <w:uiPriority w:val="34"/>
  </w:style>
  <w:style w:type="paragraph" w:customStyle="1" w:styleId="68">
    <w:name w:val="paragraph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9">
    <w:name w:val="FA正文"/>
    <w:basedOn w:val="1"/>
    <w:link w:val="110"/>
    <w:qFormat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70">
    <w:name w:val="14_black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71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72">
    <w:name w:val="样式2"/>
    <w:basedOn w:val="1"/>
    <w:link w:val="116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73">
    <w:name w:val="样式3"/>
    <w:basedOn w:val="28"/>
    <w:link w:val="117"/>
    <w:qFormat/>
    <w:uiPriority w:val="0"/>
    <w:pPr>
      <w:ind w:firstLine="360"/>
    </w:pPr>
  </w:style>
  <w:style w:type="paragraph" w:customStyle="1" w:styleId="74">
    <w:name w:val="样式4"/>
    <w:basedOn w:val="73"/>
    <w:link w:val="118"/>
    <w:qFormat/>
    <w:uiPriority w:val="0"/>
  </w:style>
  <w:style w:type="paragraph" w:customStyle="1" w:styleId="75">
    <w:name w:val="样式5"/>
    <w:basedOn w:val="28"/>
    <w:link w:val="119"/>
    <w:qFormat/>
    <w:uiPriority w:val="0"/>
    <w:pPr>
      <w:ind w:firstLine="360"/>
    </w:pPr>
  </w:style>
  <w:style w:type="paragraph" w:customStyle="1" w:styleId="76">
    <w:name w:val="样式6"/>
    <w:basedOn w:val="28"/>
    <w:link w:val="120"/>
    <w:qFormat/>
    <w:uiPriority w:val="0"/>
    <w:pPr>
      <w:ind w:firstLine="360"/>
    </w:pPr>
  </w:style>
  <w:style w:type="paragraph" w:customStyle="1" w:styleId="77">
    <w:name w:val="样式7"/>
    <w:basedOn w:val="5"/>
    <w:link w:val="121"/>
    <w:qFormat/>
    <w:uiPriority w:val="0"/>
  </w:style>
  <w:style w:type="paragraph" w:customStyle="1" w:styleId="78">
    <w:name w:val="样式8"/>
    <w:basedOn w:val="27"/>
    <w:link w:val="122"/>
    <w:qFormat/>
    <w:uiPriority w:val="0"/>
    <w:pPr>
      <w:ind w:firstLine="0" w:firstLineChars="0"/>
      <w:jc w:val="left"/>
    </w:pPr>
  </w:style>
  <w:style w:type="paragraph" w:customStyle="1" w:styleId="79">
    <w:name w:val="样式9"/>
    <w:basedOn w:val="78"/>
    <w:link w:val="123"/>
    <w:qFormat/>
    <w:uiPriority w:val="0"/>
    <w:pPr>
      <w:jc w:val="center"/>
    </w:pPr>
  </w:style>
  <w:style w:type="paragraph" w:customStyle="1" w:styleId="80">
    <w:name w:val="样式10"/>
    <w:basedOn w:val="79"/>
    <w:link w:val="124"/>
    <w:qFormat/>
    <w:uiPriority w:val="0"/>
    <w:pPr>
      <w:pBdr>
        <w:top w:val="single" w:color="76923C" w:sz="24" w:space="1"/>
      </w:pBdr>
    </w:pPr>
  </w:style>
  <w:style w:type="paragraph" w:customStyle="1" w:styleId="81">
    <w:name w:val="样式11"/>
    <w:basedOn w:val="80"/>
    <w:link w:val="125"/>
    <w:qFormat/>
    <w:uiPriority w:val="0"/>
    <w:pPr>
      <w:pBdr>
        <w:top w:val="none" w:color="auto" w:sz="0" w:space="0"/>
      </w:pBdr>
    </w:pPr>
  </w:style>
  <w:style w:type="paragraph" w:customStyle="1" w:styleId="82">
    <w:name w:val="样式12"/>
    <w:basedOn w:val="81"/>
    <w:link w:val="126"/>
    <w:qFormat/>
    <w:uiPriority w:val="0"/>
  </w:style>
  <w:style w:type="paragraph" w:customStyle="1" w:styleId="83">
    <w:name w:val="样式13"/>
    <w:basedOn w:val="77"/>
    <w:link w:val="127"/>
    <w:qFormat/>
    <w:uiPriority w:val="0"/>
  </w:style>
  <w:style w:type="paragraph" w:customStyle="1" w:styleId="84">
    <w:name w:val="2"/>
    <w:basedOn w:val="1"/>
    <w:link w:val="128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5">
    <w:name w:val="1"/>
    <w:basedOn w:val="1"/>
    <w:link w:val="129"/>
    <w:qFormat/>
    <w:uiPriority w:val="0"/>
    <w:pPr>
      <w:ind w:firstLine="0" w:firstLineChars="0"/>
    </w:pPr>
  </w:style>
  <w:style w:type="paragraph" w:customStyle="1" w:styleId="86">
    <w:name w:val="飞越型"/>
    <w:qFormat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7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8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89">
    <w:name w:val="标题 5 字符"/>
    <w:link w:val="7"/>
    <w:qFormat/>
    <w:uiPriority w:val="0"/>
    <w:rPr>
      <w:b/>
      <w:bCs/>
      <w:kern w:val="2"/>
      <w:sz w:val="28"/>
      <w:szCs w:val="28"/>
    </w:rPr>
  </w:style>
  <w:style w:type="character" w:customStyle="1" w:styleId="90">
    <w:name w:val="页眉 字符"/>
    <w:link w:val="28"/>
    <w:qFormat/>
    <w:uiPriority w:val="99"/>
    <w:rPr>
      <w:kern w:val="2"/>
      <w:sz w:val="18"/>
      <w:szCs w:val="18"/>
    </w:rPr>
  </w:style>
  <w:style w:type="character" w:customStyle="1" w:styleId="91">
    <w:name w:val="标题 6 字符"/>
    <w:link w:val="8"/>
    <w:qFormat/>
    <w:uiPriority w:val="0"/>
    <w:rPr>
      <w:b/>
      <w:bCs/>
      <w:kern w:val="2"/>
      <w:sz w:val="30"/>
      <w:szCs w:val="18"/>
    </w:rPr>
  </w:style>
  <w:style w:type="character" w:customStyle="1" w:styleId="92">
    <w:name w:val="标题 字符"/>
    <w:link w:val="39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93">
    <w:name w:val="标题 7 字符"/>
    <w:link w:val="9"/>
    <w:qFormat/>
    <w:uiPriority w:val="0"/>
    <w:rPr>
      <w:b/>
      <w:bCs/>
      <w:kern w:val="2"/>
      <w:sz w:val="30"/>
      <w:szCs w:val="18"/>
    </w:rPr>
  </w:style>
  <w:style w:type="character" w:customStyle="1" w:styleId="94">
    <w:name w:val="标题 8 字符"/>
    <w:link w:val="10"/>
    <w:qFormat/>
    <w:uiPriority w:val="0"/>
    <w:rPr>
      <w:b/>
      <w:bCs/>
      <w:kern w:val="2"/>
      <w:sz w:val="30"/>
      <w:szCs w:val="18"/>
    </w:rPr>
  </w:style>
  <w:style w:type="character" w:customStyle="1" w:styleId="95">
    <w:name w:val="正文文本缩进 2 字符"/>
    <w:link w:val="25"/>
    <w:qFormat/>
    <w:uiPriority w:val="0"/>
    <w:rPr>
      <w:kern w:val="2"/>
      <w:sz w:val="21"/>
      <w:szCs w:val="24"/>
    </w:rPr>
  </w:style>
  <w:style w:type="character" w:customStyle="1" w:styleId="96">
    <w:name w:val="标题 9 字符"/>
    <w:link w:val="11"/>
    <w:qFormat/>
    <w:uiPriority w:val="0"/>
    <w:rPr>
      <w:b/>
      <w:bCs/>
      <w:kern w:val="2"/>
      <w:sz w:val="30"/>
      <w:szCs w:val="18"/>
    </w:rPr>
  </w:style>
  <w:style w:type="character" w:customStyle="1" w:styleId="97">
    <w:name w:val="large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98">
    <w:name w:val="正文文本缩进 字符"/>
    <w:link w:val="19"/>
    <w:qFormat/>
    <w:uiPriority w:val="0"/>
    <w:rPr>
      <w:kern w:val="2"/>
      <w:sz w:val="21"/>
      <w:szCs w:val="24"/>
    </w:rPr>
  </w:style>
  <w:style w:type="character" w:customStyle="1" w:styleId="99">
    <w:name w:val="纯文本 字符"/>
    <w:link w:val="22"/>
    <w:qFormat/>
    <w:uiPriority w:val="0"/>
    <w:rPr>
      <w:rFonts w:ascii="宋体" w:hAnsi="Courier New"/>
      <w:kern w:val="2"/>
      <w:sz w:val="21"/>
    </w:rPr>
  </w:style>
  <w:style w:type="character" w:customStyle="1" w:styleId="100">
    <w:name w:val="标题 2 字符"/>
    <w:link w:val="4"/>
    <w:qFormat/>
    <w:uiPriority w:val="0"/>
    <w:rPr>
      <w:b/>
      <w:bCs/>
      <w:kern w:val="2"/>
      <w:sz w:val="30"/>
      <w:szCs w:val="32"/>
    </w:rPr>
  </w:style>
  <w:style w:type="character" w:customStyle="1" w:styleId="101">
    <w:name w:val="页脚 字符"/>
    <w:link w:val="27"/>
    <w:qFormat/>
    <w:uiPriority w:val="99"/>
    <w:rPr>
      <w:kern w:val="2"/>
      <w:sz w:val="18"/>
      <w:szCs w:val="18"/>
    </w:rPr>
  </w:style>
  <w:style w:type="character" w:customStyle="1" w:styleId="102">
    <w:name w:val="批注框文本 字符"/>
    <w:link w:val="26"/>
    <w:qFormat/>
    <w:uiPriority w:val="0"/>
    <w:rPr>
      <w:kern w:val="2"/>
      <w:sz w:val="18"/>
      <w:szCs w:val="18"/>
    </w:rPr>
  </w:style>
  <w:style w:type="character" w:customStyle="1" w:styleId="103">
    <w:name w:val="批注文字 字符"/>
    <w:link w:val="16"/>
    <w:qFormat/>
    <w:uiPriority w:val="0"/>
    <w:rPr>
      <w:kern w:val="2"/>
      <w:sz w:val="21"/>
      <w:szCs w:val="24"/>
    </w:rPr>
  </w:style>
  <w:style w:type="character" w:customStyle="1" w:styleId="104">
    <w:name w:val="14_black1"/>
    <w:qFormat/>
    <w:uiPriority w:val="0"/>
    <w:rPr>
      <w:color w:val="000000"/>
      <w:sz w:val="23"/>
      <w:szCs w:val="23"/>
    </w:rPr>
  </w:style>
  <w:style w:type="character" w:customStyle="1" w:styleId="105">
    <w:name w:val="正文文本首行缩进 字符"/>
    <w:link w:val="41"/>
    <w:qFormat/>
    <w:uiPriority w:val="0"/>
    <w:rPr>
      <w:kern w:val="2"/>
      <w:sz w:val="21"/>
      <w:szCs w:val="24"/>
    </w:rPr>
  </w:style>
  <w:style w:type="character" w:customStyle="1" w:styleId="106">
    <w:name w:val="正文文本 字符"/>
    <w:link w:val="18"/>
    <w:qFormat/>
    <w:uiPriority w:val="0"/>
    <w:rPr>
      <w:kern w:val="2"/>
      <w:sz w:val="21"/>
      <w:szCs w:val="24"/>
    </w:rPr>
  </w:style>
  <w:style w:type="character" w:customStyle="1" w:styleId="107">
    <w:name w:val="f141"/>
    <w:qFormat/>
    <w:uiPriority w:val="0"/>
    <w:rPr>
      <w:sz w:val="21"/>
      <w:szCs w:val="21"/>
    </w:rPr>
  </w:style>
  <w:style w:type="character" w:customStyle="1" w:styleId="108">
    <w:name w:val="正文文本缩进 3 字符"/>
    <w:link w:val="34"/>
    <w:qFormat/>
    <w:uiPriority w:val="0"/>
    <w:rPr>
      <w:kern w:val="2"/>
      <w:sz w:val="16"/>
      <w:szCs w:val="16"/>
    </w:rPr>
  </w:style>
  <w:style w:type="character" w:customStyle="1" w:styleId="109">
    <w:name w:val="文档结构图 字符"/>
    <w:link w:val="15"/>
    <w:qFormat/>
    <w:uiPriority w:val="0"/>
    <w:rPr>
      <w:rFonts w:ascii="宋体"/>
      <w:kern w:val="2"/>
      <w:sz w:val="18"/>
      <w:szCs w:val="18"/>
    </w:rPr>
  </w:style>
  <w:style w:type="character" w:customStyle="1" w:styleId="110">
    <w:name w:val="FA正文 Char"/>
    <w:link w:val="69"/>
    <w:qFormat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11">
    <w:name w:val="正文文本 3 字符"/>
    <w:link w:val="17"/>
    <w:qFormat/>
    <w:uiPriority w:val="0"/>
    <w:rPr>
      <w:kern w:val="2"/>
      <w:sz w:val="16"/>
      <w:szCs w:val="16"/>
    </w:rPr>
  </w:style>
  <w:style w:type="character" w:customStyle="1" w:styleId="112">
    <w:name w:val="正文文本 2 字符"/>
    <w:link w:val="37"/>
    <w:qFormat/>
    <w:uiPriority w:val="0"/>
    <w:rPr>
      <w:kern w:val="2"/>
      <w:sz w:val="21"/>
      <w:szCs w:val="24"/>
    </w:rPr>
  </w:style>
  <w:style w:type="character" w:customStyle="1" w:styleId="113">
    <w:name w:val="Indent Normal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日期 字符"/>
    <w:link w:val="24"/>
    <w:qFormat/>
    <w:uiPriority w:val="0"/>
    <w:rPr>
      <w:kern w:val="2"/>
      <w:sz w:val="21"/>
      <w:szCs w:val="24"/>
    </w:rPr>
  </w:style>
  <w:style w:type="character" w:customStyle="1" w:styleId="115">
    <w:name w:val="p11b1"/>
    <w:qFormat/>
    <w:uiPriority w:val="0"/>
    <w:rPr>
      <w:color w:val="000000"/>
      <w:spacing w:val="320"/>
      <w:sz w:val="20"/>
      <w:szCs w:val="20"/>
      <w:u w:val="none"/>
    </w:rPr>
  </w:style>
  <w:style w:type="character" w:customStyle="1" w:styleId="116">
    <w:name w:val="样式2 Char"/>
    <w:link w:val="72"/>
    <w:qFormat/>
    <w:uiPriority w:val="0"/>
    <w:rPr>
      <w:b/>
      <w:kern w:val="2"/>
      <w:sz w:val="30"/>
      <w:szCs w:val="24"/>
    </w:rPr>
  </w:style>
  <w:style w:type="character" w:customStyle="1" w:styleId="117">
    <w:name w:val="样式3 Char"/>
    <w:link w:val="73"/>
    <w:qFormat/>
    <w:uiPriority w:val="0"/>
    <w:rPr>
      <w:kern w:val="2"/>
      <w:sz w:val="18"/>
      <w:szCs w:val="18"/>
    </w:rPr>
  </w:style>
  <w:style w:type="character" w:customStyle="1" w:styleId="118">
    <w:name w:val="样式4 Char1"/>
    <w:link w:val="74"/>
    <w:qFormat/>
    <w:uiPriority w:val="0"/>
    <w:rPr>
      <w:kern w:val="2"/>
      <w:sz w:val="18"/>
      <w:szCs w:val="18"/>
    </w:rPr>
  </w:style>
  <w:style w:type="character" w:customStyle="1" w:styleId="119">
    <w:name w:val="样式5 Char"/>
    <w:link w:val="75"/>
    <w:qFormat/>
    <w:uiPriority w:val="0"/>
    <w:rPr>
      <w:kern w:val="2"/>
      <w:sz w:val="18"/>
      <w:szCs w:val="18"/>
    </w:rPr>
  </w:style>
  <w:style w:type="character" w:customStyle="1" w:styleId="120">
    <w:name w:val="样式6 Char"/>
    <w:link w:val="76"/>
    <w:qFormat/>
    <w:uiPriority w:val="0"/>
    <w:rPr>
      <w:kern w:val="2"/>
      <w:sz w:val="18"/>
      <w:szCs w:val="18"/>
    </w:rPr>
  </w:style>
  <w:style w:type="character" w:customStyle="1" w:styleId="121">
    <w:name w:val="样式7 Char"/>
    <w:link w:val="77"/>
    <w:qFormat/>
    <w:uiPriority w:val="0"/>
    <w:rPr>
      <w:b/>
      <w:bCs/>
      <w:kern w:val="2"/>
      <w:sz w:val="28"/>
      <w:szCs w:val="18"/>
    </w:rPr>
  </w:style>
  <w:style w:type="character" w:customStyle="1" w:styleId="122">
    <w:name w:val="样式8 Char"/>
    <w:link w:val="78"/>
    <w:qFormat/>
    <w:uiPriority w:val="0"/>
    <w:rPr>
      <w:kern w:val="2"/>
      <w:sz w:val="18"/>
      <w:szCs w:val="18"/>
    </w:rPr>
  </w:style>
  <w:style w:type="character" w:customStyle="1" w:styleId="123">
    <w:name w:val="样式9 Char"/>
    <w:link w:val="79"/>
    <w:qFormat/>
    <w:uiPriority w:val="0"/>
    <w:rPr>
      <w:kern w:val="2"/>
      <w:sz w:val="18"/>
      <w:szCs w:val="18"/>
    </w:rPr>
  </w:style>
  <w:style w:type="character" w:customStyle="1" w:styleId="124">
    <w:name w:val="样式10 Char"/>
    <w:link w:val="80"/>
    <w:qFormat/>
    <w:uiPriority w:val="0"/>
    <w:rPr>
      <w:kern w:val="2"/>
      <w:sz w:val="18"/>
      <w:szCs w:val="18"/>
    </w:rPr>
  </w:style>
  <w:style w:type="character" w:customStyle="1" w:styleId="125">
    <w:name w:val="样式11 Char"/>
    <w:link w:val="81"/>
    <w:qFormat/>
    <w:uiPriority w:val="0"/>
    <w:rPr>
      <w:kern w:val="2"/>
      <w:sz w:val="18"/>
      <w:szCs w:val="18"/>
    </w:rPr>
  </w:style>
  <w:style w:type="character" w:customStyle="1" w:styleId="126">
    <w:name w:val="样式12 Char"/>
    <w:link w:val="82"/>
    <w:qFormat/>
    <w:uiPriority w:val="0"/>
    <w:rPr>
      <w:kern w:val="2"/>
      <w:sz w:val="18"/>
      <w:szCs w:val="18"/>
    </w:rPr>
  </w:style>
  <w:style w:type="character" w:customStyle="1" w:styleId="127">
    <w:name w:val="样式13 Char"/>
    <w:link w:val="83"/>
    <w:qFormat/>
    <w:uiPriority w:val="0"/>
    <w:rPr>
      <w:b/>
      <w:bCs/>
      <w:kern w:val="2"/>
      <w:sz w:val="28"/>
      <w:szCs w:val="18"/>
    </w:rPr>
  </w:style>
  <w:style w:type="character" w:customStyle="1" w:styleId="128">
    <w:name w:val="2 Char"/>
    <w:link w:val="84"/>
    <w:qFormat/>
    <w:uiPriority w:val="0"/>
    <w:rPr>
      <w:spacing w:val="4"/>
      <w:kern w:val="2"/>
      <w:sz w:val="21"/>
      <w:szCs w:val="24"/>
    </w:rPr>
  </w:style>
  <w:style w:type="character" w:customStyle="1" w:styleId="129">
    <w:name w:val="1 Char"/>
    <w:link w:val="85"/>
    <w:qFormat/>
    <w:uiPriority w:val="0"/>
    <w:rPr>
      <w:kern w:val="2"/>
      <w:sz w:val="21"/>
      <w:szCs w:val="24"/>
    </w:rPr>
  </w:style>
  <w:style w:type="character" w:customStyle="1" w:styleId="130">
    <w:name w:val="批注主题 字符"/>
    <w:link w:val="40"/>
    <w:semiHidden/>
    <w:qFormat/>
    <w:uiPriority w:val="0"/>
    <w:rPr>
      <w:b/>
      <w:bCs/>
      <w:kern w:val="2"/>
      <w:sz w:val="21"/>
      <w:szCs w:val="24"/>
    </w:rPr>
  </w:style>
  <w:style w:type="character" w:customStyle="1" w:styleId="131">
    <w:name w:val="样式1 Char"/>
    <w:link w:val="63"/>
    <w:qFormat/>
    <w:uiPriority w:val="0"/>
    <w:rPr>
      <w:kern w:val="2"/>
      <w:sz w:val="24"/>
      <w:szCs w:val="24"/>
    </w:rPr>
  </w:style>
  <w:style w:type="paragraph" w:styleId="132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numbering" Target="numbering.xml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2.xml"/><Relationship Id="rId89" Type="http://schemas.openxmlformats.org/officeDocument/2006/relationships/image" Target="media/image79.pn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png"/><Relationship Id="rId82" Type="http://schemas.openxmlformats.org/officeDocument/2006/relationships/image" Target="media/image72.pn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1.xml"/><Relationship Id="rId79" Type="http://schemas.openxmlformats.org/officeDocument/2006/relationships/image" Target="media/image69.pn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png"/><Relationship Id="rId75" Type="http://schemas.openxmlformats.org/officeDocument/2006/relationships/image" Target="media/image65.png"/><Relationship Id="rId74" Type="http://schemas.openxmlformats.org/officeDocument/2006/relationships/image" Target="media/image64.pn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header" Target="header3.xml"/><Relationship Id="rId69" Type="http://schemas.openxmlformats.org/officeDocument/2006/relationships/image" Target="media/image59.jpeg"/><Relationship Id="rId68" Type="http://schemas.openxmlformats.org/officeDocument/2006/relationships/image" Target="media/image58.png"/><Relationship Id="rId67" Type="http://schemas.openxmlformats.org/officeDocument/2006/relationships/image" Target="media/image57.jpeg"/><Relationship Id="rId66" Type="http://schemas.openxmlformats.org/officeDocument/2006/relationships/image" Target="media/image56.png"/><Relationship Id="rId65" Type="http://schemas.openxmlformats.org/officeDocument/2006/relationships/image" Target="media/image55.pn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png"/><Relationship Id="rId60" Type="http://schemas.openxmlformats.org/officeDocument/2006/relationships/image" Target="media/image50.png"/><Relationship Id="rId6" Type="http://schemas.openxmlformats.org/officeDocument/2006/relationships/header" Target="header2.xml"/><Relationship Id="rId59" Type="http://schemas.openxmlformats.org/officeDocument/2006/relationships/image" Target="media/image49.png"/><Relationship Id="rId58" Type="http://schemas.openxmlformats.org/officeDocument/2006/relationships/image" Target="media/image48.png"/><Relationship Id="rId57" Type="http://schemas.openxmlformats.org/officeDocument/2006/relationships/image" Target="media/image47.png"/><Relationship Id="rId56" Type="http://schemas.openxmlformats.org/officeDocument/2006/relationships/image" Target="media/image46.png"/><Relationship Id="rId55" Type="http://schemas.openxmlformats.org/officeDocument/2006/relationships/image" Target="media/image45.png"/><Relationship Id="rId54" Type="http://schemas.openxmlformats.org/officeDocument/2006/relationships/image" Target="media/image44.png"/><Relationship Id="rId53" Type="http://schemas.openxmlformats.org/officeDocument/2006/relationships/image" Target="media/image43.png"/><Relationship Id="rId52" Type="http://schemas.openxmlformats.org/officeDocument/2006/relationships/image" Target="media/image42.png"/><Relationship Id="rId51" Type="http://schemas.openxmlformats.org/officeDocument/2006/relationships/image" Target="media/image41.png"/><Relationship Id="rId50" Type="http://schemas.openxmlformats.org/officeDocument/2006/relationships/image" Target="media/image40.png"/><Relationship Id="rId5" Type="http://schemas.openxmlformats.org/officeDocument/2006/relationships/header" Target="header1.xml"/><Relationship Id="rId49" Type="http://schemas.openxmlformats.org/officeDocument/2006/relationships/image" Target="media/image39.png"/><Relationship Id="rId48" Type="http://schemas.openxmlformats.org/officeDocument/2006/relationships/image" Target="media/image38.png"/><Relationship Id="rId47" Type="http://schemas.openxmlformats.org/officeDocument/2006/relationships/image" Target="media/image37.jpeg"/><Relationship Id="rId46" Type="http://schemas.openxmlformats.org/officeDocument/2006/relationships/image" Target="media/image36.pn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endnotes" Target="endnotes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png"/><Relationship Id="rId27" Type="http://schemas.openxmlformats.org/officeDocument/2006/relationships/image" Target="media/image17.jpe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F6E9B-0EC4-42F4-8F7F-7BD42DA7C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江苏国泰新点软件有限公司  0512-58188000</Company>
  <Pages>34</Pages>
  <Words>3807</Words>
  <Characters>4053</Characters>
  <Lines>51</Lines>
  <Paragraphs>14</Paragraphs>
  <TotalTime>226</TotalTime>
  <ScaleCrop>false</ScaleCrop>
  <LinksUpToDate>false</LinksUpToDate>
  <CharactersWithSpaces>4127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2014-05-09T02:07:00Z</dcterms:created>
  <dc:creator>黄晨;陆俊峰</dc:creator>
  <cp:lastModifiedBy>NTKO</cp:lastModifiedBy>
  <dcterms:modified xsi:type="dcterms:W3CDTF">2026-09-15T11:04:12Z</dcterms:modified>
  <dc:title>操作手册</dc:title>
  <cp:revision>770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0FC7BAA366DA44D388B0C42A4FB7FFE9_13</vt:lpwstr>
  </property>
  <property fmtid="{D5CDD505-2E9C-101B-9397-08002B2CF9AE}" pid="4" name="KSOTemplateDocerSaveRecord">
    <vt:lpwstr>eyJoZGlkIjoiYTEwNzhkYTIxYzYwMTNhOGU1MDUxOGRkYzA5ZGI0NzAiLCJ1c2VySWQiOiI0ODkxMjU2NzYifQ==</vt:lpwstr>
  </property>
</Properties>
</file>