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4AB1F">
      <w:pPr>
        <w:spacing w:line="388" w:lineRule="auto"/>
        <w:rPr>
          <w:rFonts w:hint="eastAsia" w:asciiTheme="majorEastAsia" w:hAnsiTheme="majorEastAsia" w:eastAsiaTheme="majorEastAsia" w:cstheme="majorEastAsia"/>
          <w:sz w:val="21"/>
        </w:rPr>
      </w:pPr>
    </w:p>
    <w:p w14:paraId="7B7DABCE">
      <w:pPr>
        <w:spacing w:before="114" w:line="218" w:lineRule="auto"/>
        <w:ind w:left="3561"/>
        <w:outlineLvl w:val="0"/>
        <w:rPr>
          <w:rFonts w:hint="eastAsia" w:asciiTheme="majorEastAsia" w:hAnsiTheme="majorEastAsia" w:eastAsiaTheme="majorEastAsia" w:cstheme="majorEastAsia"/>
          <w:sz w:val="35"/>
          <w:szCs w:val="35"/>
        </w:rPr>
      </w:pPr>
      <w:r>
        <w:rPr>
          <w:rFonts w:hint="eastAsia" w:asciiTheme="majorEastAsia" w:hAnsiTheme="majorEastAsia" w:eastAsiaTheme="majorEastAsia" w:cstheme="majorEastAsia"/>
        </w:rPr>
        <w:pict>
          <v:shape id="_x0000_s1026" o:spid="_x0000_s1026" o:spt="202" type="#_x0000_t202" style="position:absolute;left:0pt;margin-left:529.05pt;margin-top:141.9pt;height:8.45pt;width:14.2pt;z-index:-251657216;mso-width-relative:page;mso-height-relative:page;" filled="f" stroked="f" coordsize="21600,21600">
            <v:path/>
            <v:fill on="f" focussize="0,0"/>
            <v:stroke on="f"/>
            <v:imagedata o:title=""/>
            <o:lock v:ext="edit" aspectratio="f"/>
            <v:textbox inset="0mm,0mm,0mm,0mm">
              <w:txbxContent>
                <w:p w14:paraId="25A9BE21">
                  <w:pPr>
                    <w:spacing w:before="20" w:line="128" w:lineRule="exact"/>
                    <w:ind w:left="20"/>
                    <w:rPr>
                      <w:rFonts w:ascii="仿宋" w:hAnsi="仿宋" w:eastAsia="仿宋" w:cs="仿宋"/>
                      <w:sz w:val="7"/>
                      <w:szCs w:val="7"/>
                    </w:rPr>
                  </w:pPr>
                  <w:r>
                    <w:rPr>
                      <w:rFonts w:ascii="仿宋" w:hAnsi="仿宋" w:eastAsia="仿宋" w:cs="仿宋"/>
                      <w:spacing w:val="120"/>
                      <w:w w:val="175"/>
                      <w:sz w:val="7"/>
                      <w:szCs w:val="7"/>
                    </w:rPr>
                    <w:t>”</w:t>
                  </w:r>
                </w:p>
              </w:txbxContent>
            </v:textbox>
          </v:shape>
        </w:pict>
      </w:r>
      <w:r>
        <w:rPr>
          <w:rFonts w:hint="eastAsia" w:asciiTheme="majorEastAsia" w:hAnsiTheme="majorEastAsia" w:eastAsiaTheme="majorEastAsia" w:cstheme="majorEastAsia"/>
          <w:b/>
          <w:bCs/>
          <w:spacing w:val="5"/>
          <w:sz w:val="35"/>
          <w:szCs w:val="35"/>
        </w:rPr>
        <w:t>开、评标会现场记录①</w:t>
      </w:r>
    </w:p>
    <w:tbl>
      <w:tblPr>
        <w:tblStyle w:val="17"/>
        <w:tblW w:w="106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73"/>
      </w:tblGrid>
      <w:tr w14:paraId="6F4FE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10673" w:type="dxa"/>
            <w:vAlign w:val="center"/>
          </w:tcPr>
          <w:p w14:paraId="615B464C">
            <w:pPr>
              <w:bidi w:val="0"/>
              <w:jc w:val="both"/>
              <w:rPr>
                <w:rFonts w:hint="eastAsia" w:ascii="宋体" w:hAnsi="宋体" w:eastAsia="宋体" w:cs="宋体"/>
              </w:rPr>
            </w:pPr>
            <w:r>
              <w:rPr>
                <w:rFonts w:hint="eastAsia" w:ascii="宋体" w:hAnsi="宋体" w:eastAsia="宋体" w:cs="宋体"/>
                <w:sz w:val="24"/>
                <w:szCs w:val="24"/>
              </w:rPr>
              <w:t>项目名称：</w:t>
            </w:r>
            <w:r>
              <w:rPr>
                <w:rFonts w:hint="eastAsia" w:ascii="宋体" w:hAnsi="宋体" w:eastAsia="宋体" w:cs="宋体"/>
                <w:sz w:val="24"/>
                <w:szCs w:val="24"/>
                <w:lang w:val="en-US" w:eastAsia="zh-CN"/>
              </w:rPr>
              <w:t>克拉玛依市克拉玛依区老旧小区、街区改造项目（十一期）</w:t>
            </w:r>
            <w:r>
              <w:rPr>
                <w:rFonts w:hint="eastAsia" w:ascii="宋体" w:hAnsi="宋体" w:eastAsia="宋体" w:cs="宋体"/>
                <w:sz w:val="24"/>
                <w:szCs w:val="24"/>
                <w:lang w:val="en-US" w:eastAsia="en-US"/>
              </w:rPr>
              <w:t>监理</w:t>
            </w:r>
          </w:p>
        </w:tc>
      </w:tr>
      <w:tr w14:paraId="191BA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0673" w:type="dxa"/>
            <w:vAlign w:val="top"/>
          </w:tcPr>
          <w:p w14:paraId="0582BA0A">
            <w:pPr>
              <w:bidi w:val="0"/>
              <w:rPr>
                <w:rFonts w:hint="eastAsia" w:ascii="宋体" w:hAnsi="宋体" w:eastAsia="宋体" w:cs="宋体"/>
                <w:sz w:val="24"/>
                <w:szCs w:val="24"/>
              </w:rPr>
            </w:pPr>
            <w:r>
              <w:rPr>
                <w:rFonts w:hint="eastAsia" w:ascii="宋体" w:hAnsi="宋体" w:eastAsia="宋体" w:cs="宋体"/>
                <w:sz w:val="24"/>
                <w:szCs w:val="24"/>
                <w:lang w:val="en-US" w:eastAsia="zh-CN"/>
              </w:rPr>
              <w:t>开标时间：2026年07月29日</w:t>
            </w:r>
          </w:p>
        </w:tc>
      </w:tr>
      <w:tr w14:paraId="2E50F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0673" w:type="dxa"/>
            <w:vAlign w:val="top"/>
          </w:tcPr>
          <w:p w14:paraId="7A093BF4">
            <w:pPr>
              <w:bidi w:val="0"/>
              <w:rPr>
                <w:rFonts w:hint="eastAsia" w:ascii="宋体" w:hAnsi="宋体" w:eastAsia="宋体" w:cs="宋体"/>
                <w:sz w:val="24"/>
                <w:szCs w:val="24"/>
              </w:rPr>
            </w:pPr>
            <w:r>
              <w:rPr>
                <w:rFonts w:hint="eastAsia" w:ascii="宋体" w:hAnsi="宋体" w:eastAsia="宋体" w:cs="宋体"/>
                <w:sz w:val="24"/>
                <w:szCs w:val="24"/>
              </w:rPr>
              <w:t>地点：克拉玛依市政务服务和公共资源交易中心（克拉玛依市胜利路33号市政府行政2号楼一楼东侧）</w:t>
            </w:r>
          </w:p>
        </w:tc>
      </w:tr>
      <w:tr w14:paraId="341F6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0673" w:type="dxa"/>
            <w:vAlign w:val="top"/>
          </w:tcPr>
          <w:p w14:paraId="2320DDFC">
            <w:pPr>
              <w:bidi w:val="0"/>
              <w:rPr>
                <w:rFonts w:hint="eastAsia" w:ascii="宋体" w:hAnsi="宋体" w:eastAsia="宋体" w:cs="宋体"/>
                <w:sz w:val="24"/>
                <w:szCs w:val="24"/>
              </w:rPr>
            </w:pPr>
            <w:r>
              <w:rPr>
                <w:rFonts w:hint="eastAsia" w:ascii="宋体" w:hAnsi="宋体" w:eastAsia="宋体" w:cs="宋体"/>
                <w:sz w:val="24"/>
                <w:szCs w:val="24"/>
              </w:rPr>
              <w:t>会议内容：</w:t>
            </w:r>
          </w:p>
        </w:tc>
      </w:tr>
      <w:tr w14:paraId="717A1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7" w:hRule="atLeast"/>
        </w:trPr>
        <w:tc>
          <w:tcPr>
            <w:tcW w:w="10673" w:type="dxa"/>
            <w:vAlign w:val="top"/>
          </w:tcPr>
          <w:p w14:paraId="3622F613">
            <w:pPr>
              <w:numPr>
                <w:ilvl w:val="0"/>
                <w:numId w:val="0"/>
              </w:numPr>
              <w:bidi w:val="0"/>
              <w:spacing w:line="360" w:lineRule="auto"/>
              <w:ind w:left="400"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一、电子开标（10:00）</w:t>
            </w:r>
          </w:p>
          <w:p w14:paraId="3B2D2FC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1、在招标文件规定的获取文件时间内，共有9家投标单位获取招标文件；</w:t>
            </w:r>
          </w:p>
          <w:p w14:paraId="2D66659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2、克拉玛依市政务服务和公共资源交易中心开标室，在招标文件规定的递交投标文件截止时间止，共有：</w:t>
            </w:r>
            <w:r>
              <w:rPr>
                <w:rFonts w:hint="default" w:ascii="宋体" w:hAnsi="宋体" w:eastAsia="宋体" w:cs="宋体"/>
                <w:snapToGrid/>
                <w:color w:val="auto"/>
                <w:kern w:val="2"/>
                <w:sz w:val="24"/>
                <w:szCs w:val="24"/>
                <w:highlight w:val="none"/>
                <w:lang w:val="en-US" w:eastAsia="zh-CN"/>
              </w:rPr>
              <w:t>新疆天麒工程项目管理咨询有限责任公司</w:t>
            </w:r>
            <w:r>
              <w:rPr>
                <w:rFonts w:hint="eastAsia" w:ascii="宋体" w:hAnsi="宋体" w:eastAsia="宋体" w:cs="宋体"/>
                <w:snapToGrid/>
                <w:color w:val="auto"/>
                <w:kern w:val="2"/>
                <w:sz w:val="24"/>
                <w:szCs w:val="24"/>
                <w:highlight w:val="none"/>
                <w:lang w:val="en-US" w:eastAsia="zh-CN"/>
              </w:rPr>
              <w:t>、重庆市永安工程建设监理有限公司、首盛国际工程咨询集团有限公司、克拉玛依市金科工程监理有限责任公司、中浩宇项目管理有限公司、新疆卓越工程项目管理有限公司共6家投标单位按规定时间递交加密电子投标文件；</w:t>
            </w:r>
          </w:p>
          <w:p w14:paraId="4FDAF7F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3、招标代理机构工作人员在“克拉玛依市公共资源交易网“不见面”交易大厅触发“开始解密”功能后由各投标单位对自家投标文件进行解密，最终6位投标人的投标文件均解密成功；</w:t>
            </w:r>
          </w:p>
          <w:p w14:paraId="4EBFAD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4、进入唱标阶段，由工作人员进行唱标，唱标完毕后，各投标单位对唱标内容均无异议；</w:t>
            </w:r>
          </w:p>
          <w:p w14:paraId="5172904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5、开标结束。</w:t>
            </w:r>
          </w:p>
          <w:p w14:paraId="1218358B">
            <w:pPr>
              <w:numPr>
                <w:ilvl w:val="0"/>
                <w:numId w:val="0"/>
              </w:numPr>
              <w:bidi w:val="0"/>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标前会</w:t>
            </w:r>
          </w:p>
          <w:p w14:paraId="18A455C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1、招标代理机构工作人员同步评委基本信息；</w:t>
            </w:r>
          </w:p>
          <w:p w14:paraId="55EF68C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2、招标代理工作人员签到；</w:t>
            </w:r>
          </w:p>
          <w:p w14:paraId="03B2270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3、各位评委在评标3室签到；</w:t>
            </w:r>
          </w:p>
          <w:p w14:paraId="4AC8C3D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4、招标代理机构工作人员向各位评委介绍本次项目概况、招标范围、评标方法等内容，并向评委征询有无疑问，无评委有疑问。</w:t>
            </w:r>
          </w:p>
          <w:p w14:paraId="5418130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5、招标代理机构工作人员介绍本次评标委员会的组成，本次评标委员会共由5人组成，招标人代表1人，其余经济技术类专家评委4人，专家评委由克州公共资源交易中心专家库中随机抽取。全体评标委员会成员推荐，担任本次现场监督</w:t>
            </w:r>
            <w:bookmarkStart w:id="0" w:name="_GoBack"/>
            <w:bookmarkEnd w:id="0"/>
            <w:r>
              <w:rPr>
                <w:rFonts w:hint="eastAsia" w:ascii="宋体" w:hAnsi="宋体" w:eastAsia="宋体" w:cs="宋体"/>
                <w:snapToGrid/>
                <w:color w:val="auto"/>
                <w:kern w:val="2"/>
                <w:sz w:val="24"/>
                <w:szCs w:val="24"/>
                <w:highlight w:val="none"/>
                <w:lang w:val="en-US" w:eastAsia="zh-CN"/>
              </w:rPr>
              <w:t>的是克拉玛依市克拉玛依区住房和城乡建设局建筑市场监督管理办公室的孙新蕾。</w:t>
            </w:r>
          </w:p>
          <w:p w14:paraId="440E27C3">
            <w:pPr>
              <w:numPr>
                <w:ilvl w:val="0"/>
                <w:numId w:val="0"/>
              </w:numPr>
              <w:bidi w:val="0"/>
              <w:spacing w:line="360" w:lineRule="auto"/>
              <w:ind w:firstLine="241" w:firstLineChars="1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三、电子评标</w:t>
            </w:r>
          </w:p>
          <w:p w14:paraId="7462D49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1、招标代理机构工作人员介绍本次开标共分为两个阶段，（1）初步评审，（2）详细评审。</w:t>
            </w:r>
          </w:p>
          <w:p w14:paraId="76C8A5D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2、首先进行初步评审，经审查，各投标人均通过初步评审，进入下一阶段详细评审。</w:t>
            </w:r>
          </w:p>
          <w:p w14:paraId="32FA309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napToGrid/>
                <w:color w:val="auto"/>
                <w:kern w:val="2"/>
                <w:sz w:val="24"/>
                <w:szCs w:val="24"/>
                <w:highlight w:val="none"/>
                <w:lang w:val="en-US" w:eastAsia="zh-CN"/>
              </w:rPr>
              <w:t>3、评标委员会按照详细评审标准对各投标单位的投标人监理大纲、企业综合实力及投标报价进行打分。</w:t>
            </w:r>
          </w:p>
        </w:tc>
      </w:tr>
      <w:tr w14:paraId="3087F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5" w:hRule="atLeast"/>
        </w:trPr>
        <w:tc>
          <w:tcPr>
            <w:tcW w:w="10673" w:type="dxa"/>
            <w:vAlign w:val="top"/>
          </w:tcPr>
          <w:p w14:paraId="0A9856BC">
            <w:pPr>
              <w:pStyle w:val="18"/>
              <w:spacing w:before="86" w:line="222" w:lineRule="auto"/>
              <w:ind w:left="21"/>
              <w:rPr>
                <w:rFonts w:hint="eastAsia" w:ascii="宋体" w:hAnsi="宋体" w:eastAsia="宋体" w:cs="宋体"/>
                <w:lang w:eastAsia="zh-CN"/>
              </w:rPr>
            </w:pPr>
            <w:r>
              <w:rPr>
                <w:rFonts w:hint="eastAsia" w:ascii="宋体" w:hAnsi="宋体" w:eastAsia="宋体" w:cs="宋体"/>
                <w:spacing w:val="-4"/>
              </w:rPr>
              <w:t>评委签字</w:t>
            </w:r>
            <w:r>
              <w:rPr>
                <w:rFonts w:hint="eastAsia" w:ascii="宋体" w:hAnsi="宋体" w:eastAsia="宋体" w:cs="宋体"/>
                <w:spacing w:val="-4"/>
                <w:lang w:eastAsia="zh-CN"/>
              </w:rPr>
              <w:t>：</w:t>
            </w:r>
          </w:p>
        </w:tc>
      </w:tr>
    </w:tbl>
    <w:p w14:paraId="358DDBB9">
      <w:pPr>
        <w:spacing w:before="114" w:line="218" w:lineRule="auto"/>
        <w:jc w:val="center"/>
        <w:outlineLvl w:val="0"/>
        <w:rPr>
          <w:rFonts w:hint="eastAsia" w:ascii="宋体" w:hAnsi="宋体" w:eastAsia="宋体" w:cs="宋体"/>
          <w:sz w:val="35"/>
          <w:szCs w:val="35"/>
        </w:rPr>
      </w:pPr>
      <w:r>
        <w:rPr>
          <w:rFonts w:hint="eastAsia" w:ascii="宋体" w:hAnsi="宋体" w:eastAsia="宋体" w:cs="宋体"/>
        </w:rPr>
        <mc:AlternateContent>
          <mc:Choice Requires="wps">
            <w:drawing>
              <wp:anchor distT="0" distB="0" distL="114300" distR="114300" simplePos="0" relativeHeight="251660288" behindDoc="1" locked="0" layoutInCell="1" allowOverlap="1">
                <wp:simplePos x="0" y="0"/>
                <wp:positionH relativeFrom="column">
                  <wp:posOffset>6718935</wp:posOffset>
                </wp:positionH>
                <wp:positionV relativeFrom="paragraph">
                  <wp:posOffset>1802130</wp:posOffset>
                </wp:positionV>
                <wp:extent cx="180340" cy="10731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0340" cy="107315"/>
                        </a:xfrm>
                        <a:prstGeom prst="rect">
                          <a:avLst/>
                        </a:prstGeom>
                        <a:noFill/>
                        <a:ln>
                          <a:noFill/>
                        </a:ln>
                      </wps:spPr>
                      <wps:txbx>
                        <w:txbxContent>
                          <w:p w14:paraId="5C96FA12">
                            <w:pPr>
                              <w:spacing w:before="20" w:line="128" w:lineRule="exact"/>
                              <w:ind w:left="20"/>
                              <w:rPr>
                                <w:rFonts w:ascii="仿宋" w:hAnsi="仿宋" w:eastAsia="仿宋" w:cs="仿宋"/>
                                <w:sz w:val="7"/>
                                <w:szCs w:val="7"/>
                              </w:rPr>
                            </w:pPr>
                            <w:r>
                              <w:rPr>
                                <w:rFonts w:ascii="仿宋" w:hAnsi="仿宋" w:eastAsia="仿宋" w:cs="仿宋"/>
                                <w:spacing w:val="120"/>
                                <w:w w:val="175"/>
                                <w:sz w:val="7"/>
                                <w:szCs w:val="7"/>
                              </w:rPr>
                              <w:t>”</w:t>
                            </w:r>
                          </w:p>
                        </w:txbxContent>
                      </wps:txbx>
                      <wps:bodyPr lIns="0" tIns="0" rIns="0" bIns="0" upright="1"/>
                    </wps:wsp>
                  </a:graphicData>
                </a:graphic>
              </wp:anchor>
            </w:drawing>
          </mc:Choice>
          <mc:Fallback>
            <w:pict>
              <v:shape id="_x0000_s1026" o:spid="_x0000_s1026" o:spt="202" type="#_x0000_t202" style="position:absolute;left:0pt;margin-left:529.05pt;margin-top:141.9pt;height:8.45pt;width:14.2pt;z-index:-251656192;mso-width-relative:page;mso-height-relative:page;" filled="f" stroked="f" coordsize="21600,21600" o:gfxdata="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vXTZT2gAAAA0BAAAPAAAAAAAAAAEAIAAAACIAAABkcnMvZG93bnJldi54bWxQSwEC&#10;FAAUAAAACACHTuJAqNnCNrkBAABxAwAADgAAAAAAAAABACAAAAApAQAAZHJzL2Uyb0RvYy54bWxQ&#10;SwUGAAAAAAYABgBZAQAAVAUAAAAA&#10;">
                <v:fill on="f" focussize="0,0"/>
                <v:stroke on="f"/>
                <v:imagedata o:title=""/>
                <o:lock v:ext="edit" aspectratio="f"/>
                <v:textbox inset="0mm,0mm,0mm,0mm">
                  <w:txbxContent>
                    <w:p w14:paraId="5C96FA12">
                      <w:pPr>
                        <w:spacing w:before="20" w:line="128" w:lineRule="exact"/>
                        <w:ind w:left="20"/>
                        <w:rPr>
                          <w:rFonts w:ascii="仿宋" w:hAnsi="仿宋" w:eastAsia="仿宋" w:cs="仿宋"/>
                          <w:sz w:val="7"/>
                          <w:szCs w:val="7"/>
                        </w:rPr>
                      </w:pPr>
                      <w:r>
                        <w:rPr>
                          <w:rFonts w:ascii="仿宋" w:hAnsi="仿宋" w:eastAsia="仿宋" w:cs="仿宋"/>
                          <w:spacing w:val="120"/>
                          <w:w w:val="175"/>
                          <w:sz w:val="7"/>
                          <w:szCs w:val="7"/>
                        </w:rPr>
                        <w:t>”</w:t>
                      </w:r>
                    </w:p>
                  </w:txbxContent>
                </v:textbox>
              </v:shape>
            </w:pict>
          </mc:Fallback>
        </mc:AlternateContent>
      </w:r>
      <w:r>
        <w:rPr>
          <w:rFonts w:hint="eastAsia" w:ascii="宋体" w:hAnsi="宋体" w:eastAsia="宋体" w:cs="宋体"/>
          <w:b/>
          <w:bCs/>
          <w:spacing w:val="5"/>
          <w:sz w:val="35"/>
          <w:szCs w:val="35"/>
        </w:rPr>
        <w:t>开、评标会现场记录②</w:t>
      </w:r>
    </w:p>
    <w:tbl>
      <w:tblPr>
        <w:tblStyle w:val="17"/>
        <w:tblW w:w="106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41"/>
      </w:tblGrid>
      <w:tr w14:paraId="453F0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0641" w:type="dxa"/>
            <w:vAlign w:val="center"/>
          </w:tcPr>
          <w:p w14:paraId="7D3E2BD3">
            <w:pPr>
              <w:bidi w:val="0"/>
              <w:jc w:val="both"/>
              <w:rPr>
                <w:rFonts w:hint="eastAsia" w:ascii="宋体" w:hAnsi="宋体" w:eastAsia="宋体" w:cs="宋体"/>
              </w:rPr>
            </w:pPr>
            <w:r>
              <w:rPr>
                <w:rFonts w:hint="eastAsia" w:ascii="宋体" w:hAnsi="宋体" w:eastAsia="宋体" w:cs="宋体"/>
                <w:sz w:val="24"/>
                <w:szCs w:val="24"/>
              </w:rPr>
              <w:t>项目名称：</w:t>
            </w:r>
            <w:r>
              <w:rPr>
                <w:rFonts w:hint="eastAsia" w:ascii="宋体" w:hAnsi="宋体" w:eastAsia="宋体" w:cs="宋体"/>
                <w:sz w:val="24"/>
                <w:szCs w:val="24"/>
                <w:lang w:val="en-US" w:eastAsia="zh-CN"/>
              </w:rPr>
              <w:t>克拉玛依市克拉玛依区老旧小区、街区改造项目（十一期）</w:t>
            </w:r>
            <w:r>
              <w:rPr>
                <w:rFonts w:hint="eastAsia" w:ascii="宋体" w:hAnsi="宋体" w:eastAsia="宋体" w:cs="宋体"/>
                <w:sz w:val="24"/>
                <w:szCs w:val="24"/>
                <w:lang w:val="en-US" w:eastAsia="en-US"/>
              </w:rPr>
              <w:t>监理</w:t>
            </w:r>
          </w:p>
        </w:tc>
      </w:tr>
      <w:tr w14:paraId="5D10F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0641" w:type="dxa"/>
            <w:vAlign w:val="top"/>
          </w:tcPr>
          <w:p w14:paraId="42335FFA">
            <w:pPr>
              <w:bidi w:val="0"/>
              <w:rPr>
                <w:rFonts w:hint="eastAsia" w:ascii="宋体" w:hAnsi="宋体" w:eastAsia="宋体" w:cs="宋体"/>
              </w:rPr>
            </w:pPr>
            <w:r>
              <w:rPr>
                <w:rFonts w:hint="eastAsia" w:ascii="宋体" w:hAnsi="宋体" w:eastAsia="宋体" w:cs="宋体"/>
                <w:sz w:val="24"/>
                <w:szCs w:val="24"/>
                <w:lang w:val="en-US" w:eastAsia="zh-CN"/>
              </w:rPr>
              <w:t>开标时间：2026年07月29日</w:t>
            </w:r>
          </w:p>
        </w:tc>
      </w:tr>
      <w:tr w14:paraId="4D1B6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0641" w:type="dxa"/>
            <w:vAlign w:val="top"/>
          </w:tcPr>
          <w:p w14:paraId="04DCAF1E">
            <w:pPr>
              <w:bidi w:val="0"/>
              <w:rPr>
                <w:rFonts w:hint="eastAsia" w:ascii="宋体" w:hAnsi="宋体" w:eastAsia="宋体" w:cs="宋体"/>
              </w:rPr>
            </w:pPr>
            <w:r>
              <w:rPr>
                <w:rFonts w:hint="eastAsia" w:ascii="宋体" w:hAnsi="宋体" w:eastAsia="宋体" w:cs="宋体"/>
                <w:sz w:val="24"/>
                <w:szCs w:val="24"/>
              </w:rPr>
              <w:t>地点：克拉玛依市政务服务和公共资源交易中心（克拉玛依市胜利路33号市政府行政2号楼一楼东侧）</w:t>
            </w:r>
          </w:p>
        </w:tc>
      </w:tr>
      <w:tr w14:paraId="28D91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0641" w:type="dxa"/>
            <w:vAlign w:val="top"/>
          </w:tcPr>
          <w:p w14:paraId="495A1E22">
            <w:pPr>
              <w:bidi w:val="0"/>
              <w:rPr>
                <w:rFonts w:hint="eastAsia" w:ascii="宋体" w:hAnsi="宋体" w:eastAsia="宋体" w:cs="宋体"/>
              </w:rPr>
            </w:pPr>
            <w:r>
              <w:rPr>
                <w:rFonts w:hint="eastAsia" w:ascii="宋体" w:hAnsi="宋体" w:eastAsia="宋体" w:cs="宋体"/>
                <w:sz w:val="24"/>
                <w:szCs w:val="24"/>
              </w:rPr>
              <w:t>会议内容：</w:t>
            </w:r>
          </w:p>
        </w:tc>
      </w:tr>
      <w:tr w14:paraId="364DB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4" w:hRule="atLeast"/>
        </w:trPr>
        <w:tc>
          <w:tcPr>
            <w:tcW w:w="10641" w:type="dxa"/>
            <w:vAlign w:val="top"/>
          </w:tcPr>
          <w:p w14:paraId="0092E02D">
            <w:pPr>
              <w:numPr>
                <w:ilvl w:val="0"/>
                <w:numId w:val="0"/>
              </w:numPr>
              <w:bidi w:val="0"/>
              <w:spacing w:line="360" w:lineRule="auto"/>
              <w:ind w:firstLine="241" w:firstLineChars="1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四、分值汇总、推荐定标候选人</w:t>
            </w:r>
          </w:p>
          <w:p w14:paraId="3BC7436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1、评标委员会委托招标代理机构计算各投标人的综合得分=[监理大纲(暗评) 得分+企业综合实力及投标报价(明评)得分]。</w:t>
            </w:r>
          </w:p>
          <w:p w14:paraId="6C15C1F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 xml:space="preserve"> 2、评标委员会依据招标文件中规定的评标方法确定定标候选人，定标候选人不分排名先后。符合要求的定标候选人为5名。</w:t>
            </w:r>
          </w:p>
          <w:p w14:paraId="6C508FD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依据招标文件“评定分离”定标方法规定，评标委员会推荐以下5家单位为定标候选人：（注：推荐的定标候选人顺序以单位名称首字的拼音字母先后顺序进行公示，如首字母相同的从第二字开始，以此类推）</w:t>
            </w:r>
          </w:p>
          <w:p w14:paraId="363E50E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重庆市永安工程建设监理有限公司</w:t>
            </w:r>
          </w:p>
          <w:p w14:paraId="5782954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克拉玛依市金科工程监理有限责任公司</w:t>
            </w:r>
          </w:p>
          <w:p w14:paraId="0727508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首盛国际工程咨询集团有限公司</w:t>
            </w:r>
          </w:p>
          <w:p w14:paraId="2DECA4E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新疆天麒工程项目管理咨询有限责任公司</w:t>
            </w:r>
          </w:p>
          <w:p w14:paraId="541C39D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新疆卓越工程项目管理有限公司</w:t>
            </w:r>
          </w:p>
          <w:p w14:paraId="0CBB9B9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3、评标委员会全体成员在“评标报告”、“开、评标会现场记录”等签字确认评标结果，并对评标结果负责。</w:t>
            </w:r>
          </w:p>
          <w:p w14:paraId="25F66377">
            <w:pPr>
              <w:numPr>
                <w:ilvl w:val="0"/>
                <w:numId w:val="0"/>
              </w:numPr>
              <w:bidi w:val="0"/>
              <w:spacing w:line="360" w:lineRule="auto"/>
              <w:ind w:firstLine="241" w:firstLineChars="1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五、宣布评标结果</w:t>
            </w:r>
          </w:p>
          <w:p w14:paraId="5B5FECF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1、招标代理机构工作人员在现场监督人员的监督下，向评标委员会宣布评标结果及推荐的定标候选人。</w:t>
            </w:r>
          </w:p>
          <w:p w14:paraId="73BE148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rPr>
            </w:pPr>
            <w:r>
              <w:rPr>
                <w:rFonts w:hint="eastAsia" w:ascii="宋体" w:hAnsi="宋体" w:eastAsia="宋体" w:cs="宋体"/>
                <w:snapToGrid/>
                <w:color w:val="auto"/>
                <w:kern w:val="2"/>
                <w:sz w:val="24"/>
                <w:szCs w:val="24"/>
                <w:highlight w:val="none"/>
                <w:lang w:val="en-US" w:eastAsia="zh-CN"/>
              </w:rPr>
              <w:t>2、宣布开标、评标会议结束。</w:t>
            </w:r>
          </w:p>
        </w:tc>
      </w:tr>
      <w:tr w14:paraId="35002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3" w:hRule="atLeast"/>
        </w:trPr>
        <w:tc>
          <w:tcPr>
            <w:tcW w:w="10641" w:type="dxa"/>
            <w:vAlign w:val="top"/>
          </w:tcPr>
          <w:p w14:paraId="241FB412">
            <w:pPr>
              <w:pStyle w:val="18"/>
              <w:spacing w:before="84" w:line="222" w:lineRule="auto"/>
              <w:ind w:left="21"/>
              <w:rPr>
                <w:rFonts w:hint="eastAsia" w:ascii="宋体" w:hAnsi="宋体" w:eastAsia="宋体" w:cs="宋体"/>
              </w:rPr>
            </w:pPr>
            <w:r>
              <w:rPr>
                <w:rFonts w:hint="eastAsia" w:ascii="宋体" w:hAnsi="宋体" w:eastAsia="宋体" w:cs="宋体"/>
                <w:spacing w:val="-4"/>
              </w:rPr>
              <w:t>评委签字：</w:t>
            </w:r>
          </w:p>
        </w:tc>
      </w:tr>
    </w:tbl>
    <w:p w14:paraId="081260F4">
      <w:pPr>
        <w:rPr>
          <w:rFonts w:hint="eastAsia" w:ascii="宋体" w:hAnsi="宋体" w:eastAsia="宋体" w:cs="宋体"/>
          <w:sz w:val="21"/>
        </w:rPr>
      </w:pPr>
    </w:p>
    <w:sectPr>
      <w:headerReference r:id="rId5" w:type="default"/>
      <w:pgSz w:w="11905" w:h="16837"/>
      <w:pgMar w:top="400" w:right="579" w:bottom="0" w:left="60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A13B5">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2772A2"/>
    <w:rsid w:val="073D302B"/>
    <w:rsid w:val="130674AF"/>
    <w:rsid w:val="18516B76"/>
    <w:rsid w:val="21696FC6"/>
    <w:rsid w:val="23141288"/>
    <w:rsid w:val="25F51C57"/>
    <w:rsid w:val="344454FA"/>
    <w:rsid w:val="36126F84"/>
    <w:rsid w:val="47A20796"/>
    <w:rsid w:val="4BC230B6"/>
    <w:rsid w:val="55C10681"/>
    <w:rsid w:val="55C96119"/>
    <w:rsid w:val="597B5BA5"/>
    <w:rsid w:val="5B5A0241"/>
    <w:rsid w:val="610C68E5"/>
    <w:rsid w:val="74E926C0"/>
    <w:rsid w:val="7F554A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pBdr>
        <w:top w:val="single" w:color="auto" w:sz="4" w:space="1"/>
      </w:pBdr>
    </w:pPr>
    <w:rPr>
      <w:b/>
      <w:bCs/>
    </w:rPr>
  </w:style>
  <w:style w:type="character" w:styleId="5">
    <w:name w:val="Strong"/>
    <w:basedOn w:val="4"/>
    <w:qFormat/>
    <w:uiPriority w:val="0"/>
    <w:rPr>
      <w:b/>
      <w:bCs/>
    </w:rPr>
  </w:style>
  <w:style w:type="character" w:styleId="6">
    <w:name w:val="FollowedHyperlink"/>
    <w:basedOn w:val="4"/>
    <w:qFormat/>
    <w:uiPriority w:val="0"/>
    <w:rPr>
      <w:color w:val="5C5C5C"/>
      <w:u w:val="none"/>
    </w:rPr>
  </w:style>
  <w:style w:type="character" w:styleId="7">
    <w:name w:val="Emphasis"/>
    <w:basedOn w:val="4"/>
    <w:qFormat/>
    <w:uiPriority w:val="0"/>
    <w:rPr>
      <w:b/>
      <w:bCs/>
    </w:rPr>
  </w:style>
  <w:style w:type="character" w:styleId="8">
    <w:name w:val="HTML Definition"/>
    <w:basedOn w:val="4"/>
    <w:qFormat/>
    <w:uiPriority w:val="0"/>
  </w:style>
  <w:style w:type="character" w:styleId="9">
    <w:name w:val="HTML Typewriter"/>
    <w:basedOn w:val="4"/>
    <w:qFormat/>
    <w:uiPriority w:val="0"/>
    <w:rPr>
      <w:rFonts w:hint="default" w:ascii="monospace" w:hAnsi="monospace" w:eastAsia="monospace" w:cs="monospace"/>
      <w:sz w:val="20"/>
    </w:rPr>
  </w:style>
  <w:style w:type="character" w:styleId="10">
    <w:name w:val="HTML Acronym"/>
    <w:basedOn w:val="4"/>
    <w:qFormat/>
    <w:uiPriority w:val="0"/>
  </w:style>
  <w:style w:type="character" w:styleId="11">
    <w:name w:val="HTML Variable"/>
    <w:basedOn w:val="4"/>
    <w:qFormat/>
    <w:uiPriority w:val="0"/>
  </w:style>
  <w:style w:type="character" w:styleId="12">
    <w:name w:val="Hyperlink"/>
    <w:basedOn w:val="4"/>
    <w:qFormat/>
    <w:uiPriority w:val="0"/>
    <w:rPr>
      <w:color w:val="5C5C5C"/>
      <w:u w:val="none"/>
    </w:rPr>
  </w:style>
  <w:style w:type="character" w:styleId="13">
    <w:name w:val="HTML Code"/>
    <w:basedOn w:val="4"/>
    <w:qFormat/>
    <w:uiPriority w:val="0"/>
    <w:rPr>
      <w:rFonts w:hint="default" w:ascii="monospace" w:hAnsi="monospace" w:eastAsia="monospace" w:cs="monospace"/>
      <w:sz w:val="20"/>
    </w:rPr>
  </w:style>
  <w:style w:type="character" w:styleId="14">
    <w:name w:val="HTML Cite"/>
    <w:basedOn w:val="4"/>
    <w:qFormat/>
    <w:uiPriority w:val="0"/>
  </w:style>
  <w:style w:type="character" w:styleId="15">
    <w:name w:val="HTML Keyboard"/>
    <w:basedOn w:val="4"/>
    <w:qFormat/>
    <w:uiPriority w:val="0"/>
    <w:rPr>
      <w:rFonts w:hint="default" w:ascii="monospace" w:hAnsi="monospace" w:eastAsia="monospace" w:cs="monospace"/>
      <w:sz w:val="20"/>
    </w:rPr>
  </w:style>
  <w:style w:type="character" w:styleId="16">
    <w:name w:val="HTML Sample"/>
    <w:basedOn w:val="4"/>
    <w:qFormat/>
    <w:uiPriority w:val="0"/>
    <w:rPr>
      <w:rFonts w:ascii="monospace" w:hAnsi="monospace" w:eastAsia="monospace" w:cs="monospac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仿宋" w:hAnsi="仿宋" w:eastAsia="仿宋" w:cs="仿宋"/>
      <w:sz w:val="24"/>
      <w:szCs w:val="24"/>
      <w:lang w:val="en-US" w:eastAsia="en-US" w:bidi="ar-SA"/>
    </w:rPr>
  </w:style>
  <w:style w:type="character" w:customStyle="1" w:styleId="19">
    <w:name w:val="first-child"/>
    <w:basedOn w:val="4"/>
    <w:qFormat/>
    <w:uiPriority w:val="0"/>
  </w:style>
  <w:style w:type="character" w:customStyle="1" w:styleId="20">
    <w:name w:val="layui-this"/>
    <w:basedOn w:val="4"/>
    <w:qFormat/>
    <w:uiPriority w:val="0"/>
    <w:rPr>
      <w:bdr w:val="single" w:color="EEEEEE" w:sz="6" w:space="0"/>
      <w:shd w:val="clear" w:fill="FFFFFF"/>
    </w:rPr>
  </w:style>
  <w:style w:type="character" w:customStyle="1" w:styleId="21">
    <w:name w:val="quit"/>
    <w:basedOn w:val="4"/>
    <w:uiPriority w:val="0"/>
    <w:rPr>
      <w:color w:val="3A3F49"/>
    </w:rPr>
  </w:style>
  <w:style w:type="character" w:customStyle="1" w:styleId="22">
    <w:name w:val="confirm"/>
    <w:basedOn w:val="4"/>
    <w:qFormat/>
    <w:uiPriority w:val="0"/>
    <w:rPr>
      <w:color w:val="FFFFFF"/>
    </w:rPr>
  </w:style>
  <w:style w:type="character" w:customStyle="1" w:styleId="23">
    <w:name w:val="hover3"/>
    <w:basedOn w:val="4"/>
    <w:qFormat/>
    <w:uiPriority w:val="0"/>
  </w:style>
  <w:style w:type="character" w:customStyle="1" w:styleId="24">
    <w:name w:val="hover4"/>
    <w:basedOn w:val="4"/>
    <w:qFormat/>
    <w:uiPriority w:val="0"/>
    <w:rPr>
      <w:color w:val="2590EB"/>
    </w:rPr>
  </w:style>
  <w:style w:type="character" w:customStyle="1" w:styleId="25">
    <w:name w:val="hover5"/>
    <w:basedOn w:val="4"/>
    <w:qFormat/>
    <w:uiPriority w:val="0"/>
    <w:rPr>
      <w:color w:val="2590EB"/>
    </w:rPr>
  </w:style>
  <w:style w:type="character" w:customStyle="1" w:styleId="26">
    <w:name w:val="hover6"/>
    <w:basedOn w:val="4"/>
    <w:qFormat/>
    <w:uiPriority w:val="0"/>
    <w:rPr>
      <w:color w:val="2590EB"/>
      <w:shd w:val="clear" w:fill="E9F4FD"/>
    </w:rPr>
  </w:style>
  <w:style w:type="character" w:customStyle="1" w:styleId="27">
    <w:name w:val="hover"/>
    <w:basedOn w:val="4"/>
    <w:qFormat/>
    <w:uiPriority w:val="0"/>
    <w:rPr>
      <w:color w:val="2590EB"/>
    </w:rPr>
  </w:style>
  <w:style w:type="character" w:customStyle="1" w:styleId="28">
    <w:name w:val="hover1"/>
    <w:basedOn w:val="4"/>
    <w:uiPriority w:val="0"/>
    <w:rPr>
      <w:color w:val="2590EB"/>
    </w:rPr>
  </w:style>
  <w:style w:type="character" w:customStyle="1" w:styleId="29">
    <w:name w:val="hover2"/>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1358</Words>
  <Characters>1375</Characters>
  <TotalTime>10</TotalTime>
  <ScaleCrop>false</ScaleCrop>
  <LinksUpToDate>false</LinksUpToDate>
  <CharactersWithSpaces>1377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2026-03-03T14:58:00Z</dcterms:created>
  <dc:creator>hasee</dc:creator>
  <cp:lastModifiedBy>玉湖</cp:lastModifiedBy>
  <cp:lastPrinted>2026-07-29T07:18:00Z</cp:lastPrinted>
  <dcterms:modified xsi:type="dcterms:W3CDTF">2026-07-29T07:55:20Z</dcterms:modified>
  <dc:title>开标会现场记录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2026-03-05T10:13:00Z</vt:filetime>
  </property>
  <property fmtid="{D5CDD505-2E9C-101B-9397-08002B2CF9AE}" pid="4" name="KSOTemplateDocerSaveRecord">
    <vt:lpwstr>eyJoZGlkIjoiMTQ2OGE0ZDhkMDZlYjg2ZThiNjUzMThlMDY1ODBiYjUiLCJ1c2VySWQiOiI0MzQyNjU0NzQifQ==</vt:lpwstr>
  </property>
  <property fmtid="{D5CDD505-2E9C-101B-9397-08002B2CF9AE}" pid="5" name="KSOProductBuildVer">
    <vt:lpwstr>2052-12.1.0.26895</vt:lpwstr>
  </property>
  <property fmtid="{D5CDD505-2E9C-101B-9397-08002B2CF9AE}" pid="6" name="ICV">
    <vt:lpwstr>9C3029A34CD441C891DAD157FCCCE73A_13</vt:lpwstr>
  </property>
</Properties>
</file>